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FANG</w:t>
      </w:r>
      <w:r>
        <w:rPr>
          <w:rFonts w:ascii="Calibri" w:hAnsi="Calibri"/>
          <w:b/>
          <w:color w:val="1A2010"/>
          <w:sz w:val="40"/>
        </w:rPr>
        <w:t xml:space="preserve">  Diamondback Energy, Inc.</w:t>
      </w:r>
    </w:p>
    <w:p>
      <w:pPr>
        <w:spacing w:after="120"/>
      </w:pPr>
      <w:r>
        <w:rPr>
          <w:rFonts w:ascii="Calibri" w:hAnsi="Calibri"/>
          <w:b/>
          <w:color w:val="6E8450"/>
          <w:sz w:val="18"/>
        </w:rPr>
        <w:t>DIVIDEND SLEEVE · 2026-09-06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NASDAQ · United States</w:t>
      </w:r>
    </w:p>
    <w:p>
      <w:pPr>
        <w:spacing w:after="80"/>
      </w:pPr>
      <w:r>
        <w:rPr>
          <w:rFonts w:ascii="Calibri" w:hAnsi="Calibri"/>
          <w:b w:val="0"/>
          <w:color w:val="3A4A28"/>
          <w:sz w:val="20"/>
        </w:rPr>
        <w:t>Diamondback Energy is the largest independent oil and gas producer in the Permian Basin following the 2024 $26B Endeavor Energy Resources merger. The company operates with an industry-low cost structure, produces 979K+ BOE/d (521K MBO/d oil), and returns capital via a rising base dividend and opportunistic buybacks. CEO Kaes Van't Hof succeeded Travis Stice (now Executive Chairman) in 2025.</w:t>
      </w:r>
    </w:p>
    <w:p>
      <w:r>
        <w:rPr>
          <w:rFonts w:ascii="Calibri" w:hAnsi="Calibri"/>
          <w:b/>
          <w:color w:val="6E8450"/>
          <w:sz w:val="18"/>
        </w:rPr>
        <w:t>1,100 Employees · https://www.diamondbackenergy.com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$26B Endeavor acquisition (closed late 2024) transformed Diamondback from mid-cap pure-play into the largest independent Permian producer, with Q2 2026 delivering $5.56B revenue and adjusted EPS of $6.48 (beating $6.08 consensus) [1][2]. The company raised full-year production guidance without increasing its ~$3.9B capital budget, demonstrating post-merger synergy realization. AI Deployment (2/2): Diamondback is pursuing a JV to build gas-fueled power plants in the Permian Basin explicitly to serve AI data centers, and is partnered with Oklo on fast-fission nuclear reactors for data center power — quantified AI monetization of Permian natural gas production [3]. The company is hiring for an 'AI Lead - Portfolio Strategy' role and appointed a new CIO with 20+ years of energy technology leadership. Market Share (2/2): Largest independent Permian producer with 3,618 MMBOE proved reserves, industry-lowest breakeven cost structure, and real-time continuous emissions monitoring on 87%+ of operated oil production post-merger [1][4]. Pipeline (0/2): Commodity E&amp;P with no differentiated product pipeline. Production guidance raised to 520+ MBO/d, representing ~5% organic growth, but this is operational execution not product innovation [1]. R&amp;D Intensity (0/1): E&amp;P sector does not meaningfully compete on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Travis Stice's 12-year leadership articulated a specific identity — 'pure-play Permian operator of choice' with industry-lowest cost structure and disciplined capital returns. His leadership philosophy emphasizes 'character and authenticity' and building leaders who others 'willingly follow' [2]. This is a strategic positioning rather than a transcendent purpose. Community Impact (1/2): 2025 Corporate Sustainability Report outlines Permian Basin community investment, 50% Scope 1+2 GHG intensity reduction target by 2030, and commitment to point-forward Scope 1 carbon neutrality. Environmental and safety metrics are embedded in executive compensation [4]. Standard E&amp;P sustainability commitments without distinctive dollar-denominated community programs. Employee Retention (1/2): Glassdoor 3.7/5 with 82% recommend-to-friend and 4.5/5 compensation rating, though reviews cite 'culture tanked after the EER merger' as the doubled workforce integrates under new CEO Van't Hof [2]. Stice's 12-year tenure and succession to Van't Hof demonstrates leadership continuity. Insider Buying (0/2): No evidence of meaningful open-market net insider buying by executive team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Q2 2026 was exceptional: revenue of $5.56B (+51% YoY), adjusted EPS of $6.48 beating consensus by 6.6%, and diluted EPS of $6.65 vs $2.38 in Q2 2025 [2]. However, TTM GAAP profitability is distorted by Q1 2026 operating losses (margin -1.91%) from merger-related charges, depressing TTM ROE to 3.8% and GAAP net margin to 11.6% [5]. Forward P/E of 10.95 remains compelling — well below the 20 target — reflecting strong forward earnings power. D/E of 33% is conservative for the sector despite $14.5B in post-merger debt. Base dividend raised 10% to $4.40 annually ($1.10/quarter) with 8 consecutive years of payments, and the 25%+ 5-year dividend CAGR reflects rapid scaling of shareholder returns [1][4]. The stock rallied from $171.88 to $199 since the prior screen, compressing dividend yield from 2.56% to 2.21% but still above the 2%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Diamondback is a superbly executed commodity business under Travis Stice's 12-year leadership (now Executive Chairman), but fundamentally plays a finite game. The company exists to extract maximum value from Permian Basin assets and return capital to shareholders — there is no articulated vision of a better future beyond being the lowest-cost producer. The $26B Endeavor bet and AI power pivot show strategic ambition, but the competitive language centers on winning scale and cost leadership rather than advancing a cause that transcends quarterly returns.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Diamondback's stated purpose — becoming the 'pure-play Permian operator of choice' with industry-lowest cost structure — is specific and has been consistently executed since 2012 [2]. However, it is fundamentally a commodity optimization strategy, not a Sinek-caliber Just Cause. It describes competitive positioning rather than a vision of a future state that invites others to contribute. The company exists to produce oil efficiently and return capital, which is an honest but finite objective.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3.7/5 with 82% recommend-to-friend and 4.5/5 compensation indicates a generally positive work environment [2]. Stice's leadership philosophy of 'character and authenticity' and the smooth CEO succession to Kaes Van't Hof suggest cultural intentionality and stability. However, reviews citing 'culture tanked after the EER merger' indicate the Circle of Safety is under stress as the doubled workforce integrates — adequate trust but with merger-related strain.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Management frames the Permian competitive landscape in terms of cost leadership, scale dominance, and rollup market share gains rather than citing specific rivals whose strengths sharpen Diamondback's own strategy [1][2]. Commentary around the Endeavor acquisition emphasized 'winning' the Permian consolidation game and becoming the largest independent producer — finite-game language of accumulation rather than infinite-game language of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Endeavor merger transformed Diamondback from a mid-cap pure-play into the largest independent Permian producer — a meaningful reinvention of scale and market position [1]. The subsequent pivot toward AI-power JVs and Oklo nuclear partnerships shows the team can envision monetizing gas and power in adjacent verticals beyond traditional oil production [3]. However, the core business model remains unchanged — drill and complete Permian wells. The adaptations are incremental adjacencies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$26B Endeavor acquisition was a significant scale bet at a potentially cyclical peak, requiring conviction that Permian asset value would endure [1]. Stice's planned CEO transition to Van't Hof demonstrates succession planning discipline. The 10% base dividend increase alongside continued buybacks shows commitment to shareholder returns even as integration continues. However, these are profitable strategic decisions rather than costly sacrifices — the Endeavor deal was accretive and buybacks are funded by excess FCF.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Diamondback delivered an exceptional Q2 2026 with $5.56B revenue (+51% YoY), adjusted EPS of $6.48 (beating $6.08 consensus), and diluted EPS of $6.65 [2]. The company raised full-year production guidance without increasing its ~$3.9B capital budget, demonstrating post-Endeavor synergy realization and operational discipline. At 10.95x forward earnings with D/E of only 33%, FANG is compellingly valued for the largest independent Permian operator. The AI-power thesis — JV gas plants and Oklo nuclear for data center electricity — provides additional upside optionality beyond core E&amp;P operations [3]. Base dividend of $4.40 (2.21% yield, up 10% YoY) with 25%+ 5-year dividend growth CAGR rewards holders while the company targets continued production growth. Inspire score of 45 (ALIGNED) with 15 positive ESG attributions is strong for an E&amp;P company.</w:t>
      </w:r>
    </w:p>
    <w:p>
      <w:pPr>
        <w:spacing w:after="120"/>
      </w:pPr>
      <w:r>
        <w:rPr>
          <w:rFonts w:ascii="Calibri" w:hAnsi="Calibri"/>
          <w:b w:val="0"/>
          <w:color w:val="3A4A28"/>
          <w:sz w:val="20"/>
        </w:rPr>
        <w:t>The bear case centers on commodity cyclicality and GAAP profitability distortions. Despite the strong Q2, GAAP profitability is distorted by Q1 2026 operating losses (margin -1.91%) from merger-related charges, depressing TTM ROE to 3.8% and GAAP net margin to 11.6% — well below the normalized ~22% adjusted margin [5]. Earnings remain a near-pure function of WTI and Henry Hub prices — production growth of ~5% YoY provides limited insulation against a sustained oil price decline below $60/bbl [1]. The stock's 16% rally from $172 to $199 since the prior screen has compressed the dividend yield from 2.56% to 2.21%, reducing the income appeal. Post-merger culture integration risk persists — Glassdoor reviews cite degradation since the Endeavor close, and the CEO transition from Stice to Van't Hof adds execution complexity [2]. Carbon Tracker flags 90-100% of Diamondback's 2021-2030 capex as outside the IEA 'Beyond 2 Degrees' scenario, creating long-term stranded-asset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 JV and Oklo nuclear partnership converting Permian natural gas into quantified revenue from West Texas data center electricity demand — a new monetization vertical beyond commodity E&amp;P with hiring actively underway for AI Lead roles [3]</w:t>
      </w:r>
    </w:p>
    <w:p>
      <w:pPr>
        <w:spacing w:before="40" w:after="40"/>
        <w:ind w:left="283"/>
      </w:pPr>
      <w:r>
        <w:rPr>
          <w:rFonts w:ascii="Calibri" w:hAnsi="Calibri"/>
          <w:b/>
          <w:color w:val="4A6B25"/>
          <w:sz w:val="20"/>
        </w:rPr>
        <w:t xml:space="preserve">2. </w:t>
      </w:r>
      <w:r>
        <w:rPr>
          <w:rFonts w:ascii="Calibri" w:hAnsi="Calibri"/>
          <w:b w:val="0"/>
          <w:color w:val="3A4A28"/>
          <w:sz w:val="20"/>
        </w:rPr>
        <w:t>Continued Endeavor synergy realization driving per-share FCF growth, with production guidance raised without capex increase and potential for additional variable dividends and buyback acceleration [1][2]</w:t>
      </w:r>
    </w:p>
    <w:p>
      <w:pPr>
        <w:spacing w:before="40" w:after="40"/>
        <w:ind w:left="283"/>
      </w:pPr>
      <w:r>
        <w:rPr>
          <w:rFonts w:ascii="Calibri" w:hAnsi="Calibri"/>
          <w:b/>
          <w:color w:val="4A6B25"/>
          <w:sz w:val="20"/>
        </w:rPr>
        <w:t xml:space="preserve">3. </w:t>
      </w:r>
      <w:r>
        <w:rPr>
          <w:rFonts w:ascii="Calibri" w:hAnsi="Calibri"/>
          <w:b w:val="0"/>
          <w:color w:val="3A4A28"/>
          <w:sz w:val="20"/>
        </w:rPr>
        <w:t>Forward P/E of 10.95 offers significant upside if GAAP margins normalize from Q1 2026's merger-charge distortions — Q2 2026 demonstrated 34%+ net margins when unencumbered by one-time items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WTI and natural gas price cyclicality — with earnings as a near-pure function of commodity prices, a sustained oil decline below $60/bbl would compress FCF and threaten the capital return thesis regardless of operational execution [1]</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distorted by merger charges — TTM ROE of 3.8% and operating losses in Q1 2026 create uncertainty about when normalized earnings power will be fully reflected in reported results [5]</w:t>
      </w:r>
    </w:p>
    <w:p>
      <w:pPr>
        <w:spacing w:before="40" w:after="40"/>
        <w:ind w:left="283"/>
      </w:pPr>
      <w:r>
        <w:rPr>
          <w:rFonts w:ascii="Calibri" w:hAnsi="Calibri"/>
          <w:b/>
          <w:color w:val="4A6B25"/>
          <w:sz w:val="20"/>
        </w:rPr>
        <w:t xml:space="preserve">3. </w:t>
      </w:r>
      <w:r>
        <w:rPr>
          <w:rFonts w:ascii="Calibri" w:hAnsi="Calibri"/>
          <w:b w:val="0"/>
          <w:color w:val="3A4A28"/>
          <w:sz w:val="20"/>
        </w:rPr>
        <w:t>Long-term stranded-asset risk — Carbon Tracker flags 90-100% of 2021-2030 capex outside the IEA 2-degree scenario, and Scope 3 emissions (combustion of produced oil/gas) remain unaddressed in sustainability commitments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E&amp;P is physical-world infrastructure that AI structurally cannot displace — drilling wells, operating pipelines, and managing Permian acreage requires tangible physical operations entirely beyond AI's capabilities [1]. AI is a direct demand driver for Diamondback's natural gas production: data centers require massive electricity generation, much of which comes from natural gas in Texas. Analysts universally treat FANG as an AI-power beneficiary rather than a disruption target. The only structural risk is long-term AI-accelerated energy transition reducing oil demand, but this is decade-horizon and offset by near-term data center gas demand [3]. AI Opportunity (1/1): Diamondback is pursuing a JV to build gas-fueled power plants in the Permian that directly serve AI data centers, and has partnered with Oklo on fast-fission nuclear reactors for data center power. Hart Energy and Utility Dive name Diamondback as a lead vehicle for the AI-power thesis in West Texas — quantifiable incremental revenue from Permian natural gas monetization for AI workloads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Diamondback Energy Q1 2026 Earnings Release — 521 MBO/d production, $4.23 adjusted EPS, $2.7B EBITDA, $1.7B FCF, guidance raised to 520+ MBO/d, May 2026</w:t>
      </w:r>
    </w:p>
    <w:p>
      <w:pPr>
        <w:spacing w:before="20" w:after="20"/>
        <w:ind w:left="170"/>
      </w:pPr>
      <w:r>
        <w:rPr>
          <w:rFonts w:ascii="Calibri" w:hAnsi="Calibri"/>
          <w:b/>
          <w:color w:val="4A6B25"/>
          <w:sz w:val="15"/>
        </w:rPr>
        <w:t xml:space="preserve">2. </w:t>
      </w:r>
      <w:r>
        <w:rPr>
          <w:rFonts w:ascii="Calibri" w:hAnsi="Calibri"/>
          <w:b w:val="0"/>
          <w:color w:val="3A4A28"/>
          <w:sz w:val="17"/>
        </w:rPr>
        <w:t>Diamondback Energy Q2 2026 Earnings Release — $5.56B revenue (+51% YoY), adjusted EPS $6.48 (beat $6.08), diluted EPS $6.65, production guidance raised, August 2026</w:t>
      </w:r>
    </w:p>
    <w:p>
      <w:pPr>
        <w:spacing w:before="20" w:after="20"/>
        <w:ind w:left="170"/>
      </w:pPr>
      <w:r>
        <w:rPr>
          <w:rFonts w:ascii="Calibri" w:hAnsi="Calibri"/>
          <w:b/>
          <w:color w:val="4A6B25"/>
          <w:sz w:val="15"/>
        </w:rPr>
        <w:t xml:space="preserve">3. </w:t>
      </w:r>
      <w:r>
        <w:rPr>
          <w:rFonts w:ascii="Calibri" w:hAnsi="Calibri"/>
          <w:b w:val="0"/>
          <w:color w:val="3A4A28"/>
          <w:sz w:val="17"/>
        </w:rPr>
        <w:t>Diamondback AI-Power JV and Oklo Nuclear Partnership for Permian data center electricity; AI Lead hiring — Hart Energy, Utility Dive, Ladders, 2025-2026</w:t>
      </w:r>
    </w:p>
    <w:p>
      <w:pPr>
        <w:spacing w:before="20" w:after="20"/>
        <w:ind w:left="170"/>
      </w:pPr>
      <w:r>
        <w:rPr>
          <w:rFonts w:ascii="Calibri" w:hAnsi="Calibri"/>
          <w:b/>
          <w:color w:val="4A6B25"/>
          <w:sz w:val="15"/>
        </w:rPr>
        <w:t xml:space="preserve">4. </w:t>
      </w:r>
      <w:r>
        <w:rPr>
          <w:rFonts w:ascii="Calibri" w:hAnsi="Calibri"/>
          <w:b w:val="0"/>
          <w:color w:val="3A4A28"/>
          <w:sz w:val="17"/>
        </w:rPr>
        <w:t>Diamondback Sustainability Report (Scope 1 carbon neutrality, 87% emissions monitoring, 50% GHG intensity reduction target 2030), Carbon Tracker analysis —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FANG $199.10, PE 16.68, Forward PE 10.95, D/E 33%, ROE 3.79%, TTM Net Margin 11.64%,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