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FAST</w:t>
      </w:r>
      <w:r>
        <w:rPr>
          <w:rFonts w:ascii="Calibri" w:hAnsi="Calibri"/>
          <w:b/>
          <w:color w:val="1A2010"/>
          <w:sz w:val="40"/>
        </w:rPr>
        <w:t xml:space="preserve">  Fastenal Company</w:t>
      </w:r>
    </w:p>
    <w:p>
      <w:pPr>
        <w:spacing w:after="120"/>
      </w:pPr>
      <w:r>
        <w:rPr>
          <w:rFonts w:ascii="Calibri" w:hAnsi="Calibri"/>
          <w:b/>
          <w:color w:val="6E8450"/>
          <w:sz w:val="18"/>
        </w:rPr>
        <w:t>DIVIDEND SLEEVE · 2026-08-28 · Inspire: 41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Industrial Distribution · NASDAQ · United States</w:t>
      </w:r>
    </w:p>
    <w:p>
      <w:pPr>
        <w:spacing w:after="80"/>
      </w:pPr>
      <w:r>
        <w:rPr>
          <w:rFonts w:ascii="Calibri" w:hAnsi="Calibri"/>
          <w:b w:val="0"/>
          <w:color w:val="3A4A28"/>
          <w:sz w:val="20"/>
        </w:rPr>
        <w:t>Fastenal is a leading industrial distributor of fasteners, safety products, and other industrial and construction supplies. The company operates through a network of approximately 1,600 branches and 1,900+ onsite locations, with 136,600+ smart vending and bin-stocking devices (FMI) embedded in customer operations. Digital channels represent approximately 62% of total sales. CEO Jeffery Watts assumed leadership in July 2026 following Dan Florness's 30-year tenure, marking a smooth transition that prioritizes preserving the founder-inspired culture. Q2 2026 revenue surged 15% YoY to $2.39B driven by contract sales growth [1].</w:t>
      </w:r>
    </w:p>
    <w:p>
      <w:r>
        <w:rPr>
          <w:rFonts w:ascii="Calibri" w:hAnsi="Calibri"/>
          <w:b/>
          <w:color w:val="6E8450"/>
          <w:sz w:val="18"/>
        </w:rPr>
        <w:t>24,489 Employees · https://www.fastenal.com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Fastenal has executed a genuine business model transformation over the past five years, growing its FMI network to 136,600+ smart vending and bin-stocking devices and increasing digital channel share to approximately 62% of total sales [1][2]. Q2 2026 revenue of $2.39B (+15% YoY) demonstrates accelerating adoption, with contract sales surging as large-account implementations scale faster through internally developed AI and quoting tools [1]. This is a meaningful pivot from traditional branch distribution to technology-embedded customer partnerships. AI Deployment (1/2): Fastenal is actively deploying AI capabilities — the latest FMI devices feature AI-driven predictive analytics alerting customers to shortages before they occur, and internally developed AI quoting tools are accelerating large-account implementation [2]. The company uses AI for demand forecasting, automated inventory management, and data analytics, though specific quantified savings have not been publicly disclosed. Market Share (1/2): Fastenal is a top-two industrial distributor alongside Grainger, recognized as a digital distribution leader, but does not hold dominant share in the fragmented $200B+ industrial distribution market. Pipeline (1/2): FMI expansion toward 150,000+ devices, onsite location growth past 1,900, and e-procurement integrations provide visible pipeline, plus new CEO Watts has signaled a turn toward AI investments and acquisitions to drive growth [2]. R&amp;D Intensity (0/1): As a distribution company, Fastenal does not invest in traditional R&amp;D; innovation comes through supply chain technology and process improvement.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Fastenal's positioning — 'Where Industry Meets Innovation' with a commitment to being 'high-touch, high-tech' — is specific and connects its distribution business to customer productivity and operational efficiency [2]. The company's culture centers on Bob Kierlin's founding philosophy of frugality and customer service. However, it describes a business approach rather than a vision of a better future. Community Impact (0/2): No distinctive charitable programs or community investment initiatives were identified. Fastenal maintains a frugal culture focused on operational efficiency and earned a silver medal from EcoVadis (top 15% sustainability), but no significant community investment or philanthropy beyond standard ESG reporting [3]. Employee Retention (1/2): The promote-from-within culture is evidenced by new CEO Jeffery Watts's rise through the sales organization and former CEO Florness's 30-year tenure [2]. The board explicitly cited preserving 'the cultural values Robert Kierlin and the Founders established decades ago' as a succession priority in the July 2026 transition. Glassdoor rates Fastenal 3.4/5 with 5,840 reviews. Insider Buying (0/2): No meaningful net insider buying by executives identified in the most recent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Fastenal's balance sheet is exceptionally clean. D/E of 11% is among the lowest in industrials, scoring 1.0, and ROE of 33.8% significantly exceeds the 15% threshold, scoring 1.0 [4]. TTM revenue of $8.75B grew 12.5% YoY, scoring 1.0, with Q2 2026 accelerating to 15% driven by contract sales growth and FMI expansion [1]. The 5-year revenue CAGR of approximately 7.75% scores 0.85. Profit margin of 15.45% scores 0.77 — strong for distribution but below the 20% target. Forward P/E of 38.23x is the primary weakness (score 0.54) — reflecting the market's premium for Fastenal's digital distribution model [4]. Dividend profile is strong: 25+ consecutive years of payments scores 1.0 at 2x weight, 13+ consecutive years of dividend growth scores 1.0, and the 5-year dividend growth CAGR of 12% scores 1.0 at 2x weight [4]. Payout ratio of approximately 82% scores 0.30. Weighted sum: 10.47/12 x 10 = 9. Liquidity easily cleared: $51.14 x 5.66M avg volume = $289M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Fastenal is a textbook infinite game company. Founded in 1967, it has patiently invested in vending technology and digital distribution for over a decade, transforming its business model from traditional branch-based sales to 62% digital channels while maintaining the frugal, founder-inspired culture that defines its competitive advantage. The smooth CEO transition from 30-year veteran Florness to sales leader Watts in July 2026 preserves cultural continuity across generations of leadership. New CEO Watts's signal to pursue AI investments and acquisitions adds a new growth dimension while honoring the company's operational DNA.</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Fastenal's cause — making industrial supply chains more efficient and accessible through technology — has been validated by decades of patient investment in vending, digital, and onsite solutions [2]. The transformation from a small-town fastener store in Winona, Minnesota to a 136,600-device technology platform serving global manufacturers reflects purpose-driven strategic decisions spanning nearly 60 years. The July 2026 CEO transition explicitly prioritized cultural preservation, demonstrating the cause transcends any single leader. However, 'industrial distribution efficiency' is more of a business mission than a Just Cause in Sinek's transcendent sense.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Fastenal's founder-inspired frugal culture creates a distinctive organizational identity that fosters loyalty. The board explicitly cited preserving 'the cultural values Robert Kierlin and the Founders established decades ago' as a succession priority in the July 2026 CEO transition [2]. The flat, decentralized structure empowers branch and onsite teams with significant autonomy. Glassdoor rates the company 3.4/5 across 5,840 reviews, with positive marks for entrepreneurial culture and work but compensation ratings of only 2.9/5 — the frugal culture creates tension with employee compensation expectations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Fastenal openly acknowledges Grainger's strengths and uses the competitive dynamic to improve its own digital capabilities and customer solutions [2]. Both companies are frequently cited together as leaders in industrial distribution transformation, and Fastenal's approach focuses on improving its own model rather than attacking Grainger. Management's competitive language centers on improving customer outcomes, not defeating specific rivals.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Fastenal has genuinely reinvented itself — transforming from a traditional fastener store chain into a technology-enabled industrial distribution platform with 136,600+ smart vending devices and 62% digital sales [2]. The company invested in vending technology years before it was commercially validated, building FASTVend and FASTBin systems that now embed Fastenal's infrastructure directly into customer operations. This is a transformative pivot driven by the cause of making industrial supply chains more efficient, not by desperation — the company was profitable throughout the transition. New CEO Watts's pivot toward AI and acquisitions signals a willingness to evolve again.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Fastenal invested heavily in vending technology and onsite locations during periods when the industrial economy was flat, sacrificing short-term margins to build long-term capability [2]. The company grew its FMI device network from zero to 136,600+ over a decade while traditional distribution competitors cut costs. CEO Florness maintained investment in digital infrastructure during downturns, and the decision to close underperforming branches while doubling down on onsite and vending reflects a pattern of choosing long-term capability over short-term earnings optimization. New CEO Watts's immediate signal to invest in AI and pursue acquisitions shows the pattern continues.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Fastenal is a best-in-class industrial distributor executing a multi-year digital transformation that has grown digital channel sales to approximately 62% of total revenue with FMI devices embedded in 136,600+ customer locations [1][2]. Q2 2026 revenue of $2.39B surged 15% YoY with EPS of $0.33 (+13.7%), demonstrating accelerating growth driven by contract sales and large-account implementations scaling through AI-powered quoting tools [1]. TTM revenue of $8.75B (+12.5% YoY) and net income of $1.35B (+13.7%) confirm earnings growth outpacing revenue. ROE of 33.8% and D/E of approximately 11% reflect exceptional capital efficiency and balance sheet discipline [4]. The smooth CEO transition from Florness to Watts in July 2026 preserves cultural continuity while signaling a new era of AI investment and acquisitions. The 25-year dividend track record with 13 consecutive years of growth and 12% 5-year dividend growth CAGR demonstrates shareholder commitment, and the Inspire Impact Score of 41 (ALIGNED) supports faith-based allocation.</w:t>
      </w:r>
    </w:p>
    <w:p>
      <w:pPr>
        <w:spacing w:after="120"/>
      </w:pPr>
      <w:r>
        <w:rPr>
          <w:rFonts w:ascii="Calibri" w:hAnsi="Calibri"/>
          <w:b w:val="0"/>
          <w:color w:val="3A4A28"/>
          <w:sz w:val="20"/>
        </w:rPr>
        <w:t>The bear case centers on premium valuation and margin pressure. At 43.7x trailing P/E and 38.2x forward P/E, Fastenal trades at a significant premium to both the industrial sector and distribution peers — the consensus analyst price target of $48.53 implies 5% downside from current levels [4]. Gross margin compressed to 44.6% in Q1 2026 from 45.1% YoY as tariff-related costs 'moved through the P&amp;L faster than pricing' by approximately 50 basis points, and a broader tariff escalation would further pressure margins on imported fasteners and industrial products [1]. While Q2 2026 revenue growth of 15% was robust, some acceleration was driven by tariff-related pre-buying and contract signings that may not sustain at this pace. The 1.88% dividend yield has fallen below the 2% threshold as the stock price advanced, and the ~82% payout ratio limits financial flexibility for the AI investments and acquisitions that new CEO Watts has signaled [4]. Fastenal remains directly exposed to cyclical industrial demand — a manufacturing recession would immediately impact fastener and safety product volumes across the 1,600+ branch network.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acceleration to 15% YoY ($2.39B) driven by contract sales surging as large-account implementations scale through AI-powered quoting tools, suggesting FMI network effects are intensifying [1]</w:t>
      </w:r>
    </w:p>
    <w:p>
      <w:pPr>
        <w:spacing w:before="40" w:after="40"/>
        <w:ind w:left="283"/>
      </w:pPr>
      <w:r>
        <w:rPr>
          <w:rFonts w:ascii="Calibri" w:hAnsi="Calibri"/>
          <w:b/>
          <w:color w:val="4A6B25"/>
          <w:sz w:val="20"/>
        </w:rPr>
        <w:t xml:space="preserve">2. </w:t>
      </w:r>
      <w:r>
        <w:rPr>
          <w:rFonts w:ascii="Calibri" w:hAnsi="Calibri"/>
          <w:b w:val="0"/>
          <w:color w:val="3A4A28"/>
          <w:sz w:val="20"/>
        </w:rPr>
        <w:t>New CEO Jeffery Watts signaling a strategic pivot toward AI investments and acquisitions — the first meaningful M&amp;A appetite in Fastenal's history could unlock inorganic growth acceleration while leveraging the company's pristine balance sheet (D/E 11%) [2]</w:t>
      </w:r>
    </w:p>
    <w:p>
      <w:pPr>
        <w:spacing w:before="40" w:after="40"/>
        <w:ind w:left="283"/>
      </w:pPr>
      <w:r>
        <w:rPr>
          <w:rFonts w:ascii="Calibri" w:hAnsi="Calibri"/>
          <w:b/>
          <w:color w:val="4A6B25"/>
          <w:sz w:val="20"/>
        </w:rPr>
        <w:t xml:space="preserve">3. </w:t>
      </w:r>
      <w:r>
        <w:rPr>
          <w:rFonts w:ascii="Calibri" w:hAnsi="Calibri"/>
          <w:b w:val="0"/>
          <w:color w:val="3A4A28"/>
          <w:sz w:val="20"/>
        </w:rPr>
        <w:t>FMI network expansion toward 150,000+ devices and onsite location growth past 1,900 sites, with each device deepening customer switching costs and recurring revenue streams in the $200B+ industrial distribution market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43.7x trailing P/E and 38.2x forward P/E requires sustained double-digit growth — consensus price target of $48.53 implies 5% downside, and any growth deceleration from the current 15% pace could trigger significant multiple compression [4]</w:t>
      </w:r>
    </w:p>
    <w:p>
      <w:pPr>
        <w:spacing w:before="40" w:after="40"/>
        <w:ind w:left="283"/>
      </w:pPr>
      <w:r>
        <w:rPr>
          <w:rFonts w:ascii="Calibri" w:hAnsi="Calibri"/>
          <w:b/>
          <w:color w:val="4A6B25"/>
          <w:sz w:val="20"/>
        </w:rPr>
        <w:t xml:space="preserve">2. </w:t>
      </w:r>
      <w:r>
        <w:rPr>
          <w:rFonts w:ascii="Calibri" w:hAnsi="Calibri"/>
          <w:b w:val="0"/>
          <w:color w:val="3A4A28"/>
          <w:sz w:val="20"/>
        </w:rPr>
        <w:t>Tariff-driven margin compression — Q1 2026 gross margin fell 50bps YoY as import costs moved through the P&amp;L faster than pricing, and escalating tariffs on Chinese-sourced industrial products could further pressure the 15.5% profit margin [1]</w:t>
      </w:r>
    </w:p>
    <w:p>
      <w:pPr>
        <w:spacing w:before="40" w:after="40"/>
        <w:ind w:left="283"/>
      </w:pPr>
      <w:r>
        <w:rPr>
          <w:rFonts w:ascii="Calibri" w:hAnsi="Calibri"/>
          <w:b/>
          <w:color w:val="4A6B25"/>
          <w:sz w:val="20"/>
        </w:rPr>
        <w:t xml:space="preserve">3. </w:t>
      </w:r>
      <w:r>
        <w:rPr>
          <w:rFonts w:ascii="Calibri" w:hAnsi="Calibri"/>
          <w:b w:val="0"/>
          <w:color w:val="3A4A28"/>
          <w:sz w:val="20"/>
        </w:rPr>
        <w:t>Cyclical industrial demand exposure — Fastenal's revenue is directly tied to manufacturing activity, and a manufacturing PMI contraction would immediately impact fastener and safety product volumes across the branch and onsite network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Fastenal's core business — distributing physical fasteners, safety products, and industrial supplies — involves physical-world logistics that AI cannot substitute. Customers need actual bolts, nuts, safety glasses, and cutting tools delivered to job sites, factories, and construction projects [2]. The 136,600+ smart vending devices embedded in customer operations create structural switching costs that no AI model can replicate. The onsite model places Fastenal employees inside customer facilities, building workflow integration immune to AI displacement. However, AI-powered procurement platforms (Amazon Business, emerging AI agents) could theoretically disintermediate some distribution relationships, and Fastenal itself identifies rapid technological change as creating obsolescence risk for its FMI technology [2]. AI Opportunity (0/1): While Fastenal's FMI devices feature AI-driven predictive analytics and the company uses AI for demand forecasting and inventory management, these are internal operational tools rather than revenue-generating AI products sold to customers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Fastenal Q1-Q2 2026 Earnings — Q1 Revenue $2.20B (+12.4%), EPS $0.30; Q2 Revenue $2.39B (+15%), EPS $0.33 (+13.7%), Gross Margin 44.6%, Contract Sales Surging, April-July 2026</w:t>
      </w:r>
    </w:p>
    <w:p>
      <w:pPr>
        <w:spacing w:before="20" w:after="20"/>
        <w:ind w:left="170"/>
      </w:pPr>
      <w:r>
        <w:rPr>
          <w:rFonts w:ascii="Calibri" w:hAnsi="Calibri"/>
          <w:b/>
          <w:color w:val="4A6B25"/>
          <w:sz w:val="15"/>
        </w:rPr>
        <w:t xml:space="preserve">2. </w:t>
      </w:r>
      <w:r>
        <w:rPr>
          <w:rFonts w:ascii="Calibri" w:hAnsi="Calibri"/>
          <w:b w:val="0"/>
          <w:color w:val="3A4A28"/>
          <w:sz w:val="17"/>
        </w:rPr>
        <w:t>Fastenal Digital Transformation and CEO Transition — 136,600+ FMI Devices, 62% Digital Sales, Florness to Watts Succession July 2026, AI and Acquisition Strategy, Founder Culture Preservation, 2025-2026</w:t>
      </w:r>
    </w:p>
    <w:p>
      <w:pPr>
        <w:spacing w:before="20" w:after="20"/>
        <w:ind w:left="170"/>
      </w:pPr>
      <w:r>
        <w:rPr>
          <w:rFonts w:ascii="Calibri" w:hAnsi="Calibri"/>
          <w:b/>
          <w:color w:val="4A6B25"/>
          <w:sz w:val="15"/>
        </w:rPr>
        <w:t xml:space="preserve">3. </w:t>
      </w:r>
      <w:r>
        <w:rPr>
          <w:rFonts w:ascii="Calibri" w:hAnsi="Calibri"/>
          <w:b w:val="0"/>
          <w:color w:val="3A4A28"/>
          <w:sz w:val="17"/>
        </w:rPr>
        <w:t>Fastenal ESG Report 2025 — EcoVadis Silver Medal (Top 15%), GRI and SASB Aligned, Environmental and Social Metrics, 2025</w:t>
      </w:r>
    </w:p>
    <w:p>
      <w:pPr>
        <w:spacing w:before="20" w:after="20"/>
        <w:ind w:left="170"/>
      </w:pPr>
      <w:r>
        <w:rPr>
          <w:rFonts w:ascii="Calibri" w:hAnsi="Calibri"/>
          <w:b/>
          <w:color w:val="4A6B25"/>
          <w:sz w:val="15"/>
        </w:rPr>
        <w:t xml:space="preserve">4. </w:t>
      </w:r>
      <w:r>
        <w:rPr>
          <w:rFonts w:ascii="Calibri" w:hAnsi="Calibri"/>
          <w:b w:val="0"/>
          <w:color w:val="3A4A28"/>
          <w:sz w:val="17"/>
        </w:rPr>
        <w:t>StockAnalysis.com — FAST Key Statistics: Stock Price $51.14, Forward P/E 38.23x, Market Cap $58.68B, D/E 11%, ROE 33.8%, Dividend Yield 1.88%, Revenue $8.75B TTM,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