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FBRT</w:t>
      </w:r>
      <w:r>
        <w:rPr>
          <w:rFonts w:ascii="Calibri" w:hAnsi="Calibri"/>
          <w:b/>
          <w:color w:val="1A2010"/>
          <w:sz w:val="40"/>
        </w:rPr>
        <w:t xml:space="preserve">  Franklin BSP Realty Trust, Inc.</w:t>
      </w:r>
    </w:p>
    <w:p>
      <w:pPr>
        <w:spacing w:after="120"/>
      </w:pPr>
      <w:r>
        <w:rPr>
          <w:rFonts w:ascii="Calibri" w:hAnsi="Calibri"/>
          <w:b/>
          <w:color w:val="6E8450"/>
          <w:sz w:val="18"/>
        </w:rPr>
        <w:t>DIVIDEND SLEEVE · 2026-09-29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Mortgage REIT · NYSE · United States</w:t>
      </w:r>
    </w:p>
    <w:p>
      <w:pPr>
        <w:spacing w:after="80"/>
      </w:pPr>
      <w:r>
        <w:rPr>
          <w:rFonts w:ascii="Calibri" w:hAnsi="Calibri"/>
          <w:b w:val="0"/>
          <w:color w:val="3A4A28"/>
          <w:sz w:val="20"/>
        </w:rPr>
        <w:t>Franklin BSP Realty Trust is an externally managed commercial real estate finance company that originates, acquires, and manages a diversified portfolio of commercial real estate debt investments, including first mortgage loans, mezzanine loans, and preferred equity. Externally managed by Benefit Street Partners (Franklin Templeton). Portfolio totaled $4.3B across 172 loans (80% multifamily) as of Q2 2026. CEO Michael Comparato resigned September 2026 after 7 months; Chairman Richard Byrne reappointed as CEO. Headquarters in New York.</w:t>
      </w:r>
    </w:p>
    <w:p>
      <w:r>
        <w:rPr>
          <w:rFonts w:ascii="Calibri" w:hAnsi="Calibri"/>
          <w:b/>
          <w:color w:val="6E8450"/>
          <w:sz w:val="18"/>
        </w:rPr>
        <w:t>252 Employees · https://fbrtreit.com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FBRT has made no meaningful product launches, market pivots, or business model transformations — the company continues to originate commercial real estate transitional loans using the same external management structure since inception [1]. The February 2026 CEO transition was described as 'planned management succession designed to preserve strategic continuity,' but that CEO (Comparato) resigned just 7 months later in September 2026, and predecessor Richard Byrne was reappointed [4]. AI Deployment (0/2): No AI-powered products or AI-driven operational efficiencies reported; commercial real estate underwriting remains a judgment-intensive process [1]. Market Share (0/2): FBRT manages approximately $4.3B in CRE loans, significantly smaller than Blackstone Mortgage Trust ($24B+), Starwood Property Trust ($28B+), and KKR Real Estate Finance Trust [1]. Product Pipeline (0/2): No new strategies or product innovations announced. R&amp;D Intensity (1/1): Not directly applicable to mortgage REITs, but Benefit Street Partners' infrastructure provides analytical capabilities above a standalone REIT.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FBRT operates as a financial vehicle to deploy capital and distribute income to shareholders — a generic financial objective with no deeper purpose or vision distinguishing it from any other mortgage REIT [1]. Community Impact (0/2): Alignment with UN Principles for Responsible Investment (PRI) through Franklin Templeton, but no specific charitable programs or community investment identified [3]. Employee Retention (0/2): No Glassdoor data available; the externally managed structure means investment professionals are employees of BSP/Franklin Templeton, not FBRT itself. The September 2026 CEO resignation after just 7 months suggests leadership instability [4]. Insider Buying (0/2): External management structure creates inherent misalignment — management fees are paid regardless of stock performance, and the securities fraud lawsuit alleges management misrepresented dividend sustainability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Forward P/E of 5.97 is deeply discounted (score 1.0), and profit margin of 21.4% exceeds the 20% target (score 1.0) [5]. Revenue grew 14.2% YoY and Q2 2026 distributable earnings of $28.3M ($0.28/share) now cover the reduced $0.20 quarterly dividend at 1.4x [1]. However, D/E of 270% is near the 300% floor (score 0.13) and ROE of 4.1% is weak for a leveraged REIT (score 0.27) [5]. The 44% dividend cut in February 2026 from $0.355 to $0.20 triggered a securities fraud lawsuit and destroyed consecutive growth years (now 0, scored 0.0 at 1x weight) [3]. GAAP payout ratio of 252% remains structurally elevated. Consecutive years paid of 7 (score 0.7, 2x weight) is the dividend strength. Stock trades at 53% discount to book value ($6.71 vs ~$14.24), reflecting deep market skepticism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FBRT is a textbook finite game player. The externally managed REIT structure exists solely to generate returns for shareholders and management fees for Benefit Street Partners, with no articulated purpose beyond capital deployment. The securities fraud lawsuit alleging misrepresented dividend sustainability epitomizes finite game behavior. CEO Comparato's resignation after just 7 months (September 2026), with predecessor Byrne returning, signals leadership instability rather than long-term organizational commitment.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FBRT has no Just Cause. The company exists to originate CRE loans, distribute income, and generate management fees for its external manager [1]. There is no articulated vision of a better future, no mission beyond profit, and no purpose that would survive a fundamental change in the business environment. Leadership communications focus exclusively on distributable earnings, dividend coverage, and book value — all finite, metric-driven objectives.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external management structure inherently limits trust — management's primary employer is Benefit Street Partners (Franklin Templeton), not FBRT shareholders. Management fees are earned regardless of stock performance, creating structural misalignment [1]. The CEO resignation after 7 months (Comparato stepped down September 15, 2026 to become a 'senior advisor') and the securities fraud lawsuit further erode trust [3][4]. Leadership instability — two CEO changes in one year — is antithetical to building trusting teams.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FBRT operates alongside much larger CRE lenders (Blackstone, Starwood, KKR) but does not publicly reference competitors' strengths or frame competition as motivation for self-improvement [1]. The company's strategy focuses on maintaining its loan portfolio rather than learning from the market.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FBRT has operated the same CRE lending business model since inception with no meaningful strategic pivots. The 80% multifamily concentration represents portfolio management, not business model evolution [1]. The company has not entered adjacent markets, developed new product categories, or fundamentally rethought its approach despite the dividend crisis and securities litigation that suggest the existing model faces structural challenges.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Management demonstrated the opposite of courage by allegedly misrepresenting dividend sustainability, maintaining the $0.355 quarterly payout as reflecting 'long-term stabilized earnings potential' before delivering a 44% cut [3]. CEO Comparato's resignation after just 7 months — described as stepping back 'for family time' — suggests an unwillingness to lead through the difficult post-dividend-cut period. The returning CEO Byrne emphasized 'disciplined portfolio management' and 'strategic continuity,' signaling maintenance rather than bold transformation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FBRT trades at a 53% discount to book value ($6.71 vs ~$14.24), with Q2 2026 distributable earnings of $28.3M ($0.28/share) now covering the reduced $0.20 quarterly dividend at 1.4x [1]. Forward P/E of 5.97 is deeply discounted, the 11.9% dividend yield is compelling for income seekers if the payout is stabilized, and revenue grew 14.2% YoY [5]. Reappointed CEO Richard Byrne brings institutional familiarity and stated focus on 'disciplined portfolio management, prudent capital allocation, and rigorous execution' [4]. The $4.3B portfolio concentrated 80% in multifamily loans provides exposure to the most resilient CRE sector.</w:t>
      </w:r>
    </w:p>
    <w:p>
      <w:pPr>
        <w:spacing w:after="120"/>
      </w:pPr>
      <w:r>
        <w:rPr>
          <w:rFonts w:ascii="Calibri" w:hAnsi="Calibri"/>
          <w:b w:val="0"/>
          <w:color w:val="3A4A28"/>
          <w:sz w:val="20"/>
        </w:rPr>
        <w:t>The bear case is severe. The securities fraud class action alleges management misrepresented dividend sustainability during November 2024 to February 2026, and the 44% dividend cut triggered a 14% single-day stock collapse [3]. CEO Comparato's resignation after just 7 months adds leadership instability — two CEO changes in one calendar year is a red flag [4]. D/E of 270% and GAAP payout ratio of 252% leave minimal margin for error; any CRE credit deterioration could force further dividend cuts or dilutive equity raises [5]. The external management structure creates structural misalignment where BSP/Franklin Templeton earns fees regardless of stock performance. ROE of just 4.1% is poor for a leveraged REIT. With no innovation, no mission beyond profit, Inspire score of 0, and active securities litigation, FBRT lacks the organizational qualities to inspire confidence.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Distributable earnings covering the reduced $0.20 quarterly dividend at 1.4x could rebuild investor confidence, potentially narrowing the 53% discount to book value [1]</w:t>
      </w:r>
    </w:p>
    <w:p>
      <w:pPr>
        <w:spacing w:before="40" w:after="40"/>
        <w:ind w:left="283"/>
      </w:pPr>
      <w:r>
        <w:rPr>
          <w:rFonts w:ascii="Calibri" w:hAnsi="Calibri"/>
          <w:b/>
          <w:color w:val="4A6B25"/>
          <w:sz w:val="20"/>
        </w:rPr>
        <w:t xml:space="preserve">2. </w:t>
      </w:r>
      <w:r>
        <w:rPr>
          <w:rFonts w:ascii="Calibri" w:hAnsi="Calibri"/>
          <w:b w:val="0"/>
          <w:color w:val="3A4A28"/>
          <w:sz w:val="20"/>
        </w:rPr>
        <w:t>Declining interest rates could improve CRE borrower performance, reduce portfolio credit losses, and expand net interest margins across FBRT's floating-rate loan portfolio</w:t>
      </w:r>
    </w:p>
    <w:p>
      <w:pPr>
        <w:spacing w:before="40" w:after="40"/>
        <w:ind w:left="283"/>
      </w:pPr>
      <w:r>
        <w:rPr>
          <w:rFonts w:ascii="Calibri" w:hAnsi="Calibri"/>
          <w:b/>
          <w:color w:val="4A6B25"/>
          <w:sz w:val="20"/>
        </w:rPr>
        <w:t xml:space="preserve">3. </w:t>
      </w:r>
      <w:r>
        <w:rPr>
          <w:rFonts w:ascii="Calibri" w:hAnsi="Calibri"/>
          <w:b w:val="0"/>
          <w:color w:val="3A4A28"/>
          <w:sz w:val="20"/>
        </w:rPr>
        <w:t>Resolution of the securities fraud class action without material damages would remove the litigation overhang and allow the stock to trade on fundamentals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fraud class action alleging management misrepresented dividend sustainability during November 2024 to February 2026 creates ongoing litigation liability and reputational damage [3]</w:t>
      </w:r>
    </w:p>
    <w:p>
      <w:pPr>
        <w:spacing w:before="40" w:after="40"/>
        <w:ind w:left="283"/>
      </w:pPr>
      <w:r>
        <w:rPr>
          <w:rFonts w:ascii="Calibri" w:hAnsi="Calibri"/>
          <w:b/>
          <w:color w:val="4A6B25"/>
          <w:sz w:val="20"/>
        </w:rPr>
        <w:t xml:space="preserve">2. </w:t>
      </w:r>
      <w:r>
        <w:rPr>
          <w:rFonts w:ascii="Calibri" w:hAnsi="Calibri"/>
          <w:b w:val="0"/>
          <w:color w:val="3A4A28"/>
          <w:sz w:val="20"/>
        </w:rPr>
        <w:t>Leadership instability — CEO Comparato resigned after 7 months in September 2026, with predecessor Byrne returning — raises governance concerns about strategic direction and management commitment [4]</w:t>
      </w:r>
    </w:p>
    <w:p>
      <w:pPr>
        <w:spacing w:before="40" w:after="40"/>
        <w:ind w:left="283"/>
      </w:pPr>
      <w:r>
        <w:rPr>
          <w:rFonts w:ascii="Calibri" w:hAnsi="Calibri"/>
          <w:b/>
          <w:color w:val="4A6B25"/>
          <w:sz w:val="20"/>
        </w:rPr>
        <w:t xml:space="preserve">3. </w:t>
      </w:r>
      <w:r>
        <w:rPr>
          <w:rFonts w:ascii="Calibri" w:hAnsi="Calibri"/>
          <w:b w:val="0"/>
          <w:color w:val="3A4A28"/>
          <w:sz w:val="20"/>
        </w:rPr>
        <w:t>D/E of 270% and GAAP payout ratio of 252% leave minimal margin for CRE credit deterioration, with potential for further dividend cuts or dilutive equity raises if portfolio quality weakens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FBRT's core business — originating and managing commercial real estate transitional loans — involves complex deal structuring, borrower relationship management, property-specific underwriting judgment, and regulatory compliance that create meaningful barriers to AI displacement [1]. CRE lending requires evaluation of construction risk, local market dynamics, sponsor track records, and property-level cash flows that remain difficult for AI to fully automate. However, AI-powered underwriting platforms, automated valuation models, and FinTech lending competitors are increasingly capable of handling standardized CRE loan processing and credit assessment. AI Opportunity (0/1): No AI-related revenue or AI-powered operational improvements disclosed. FBRT has not articulated any technology platform advantage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Franklin BSP Realty Trust Q2 2026 Financial Results — SEC 8-K / TradingView, August 2026</w:t>
      </w:r>
    </w:p>
    <w:p>
      <w:pPr>
        <w:spacing w:before="20" w:after="20"/>
        <w:ind w:left="170"/>
      </w:pPr>
      <w:r>
        <w:rPr>
          <w:rFonts w:ascii="Calibri" w:hAnsi="Calibri"/>
          <w:b/>
          <w:color w:val="4A6B25"/>
          <w:sz w:val="15"/>
        </w:rPr>
        <w:t xml:space="preserve">2. </w:t>
      </w:r>
      <w:r>
        <w:rPr>
          <w:rFonts w:ascii="Calibri" w:hAnsi="Calibri"/>
          <w:b w:val="0"/>
          <w:color w:val="3A4A28"/>
          <w:sz w:val="17"/>
        </w:rPr>
        <w:t>Franklin BSP Realty Trust Q1 2026 Financial Results — SEC 8-K / National Law Review, May 2026</w:t>
      </w:r>
    </w:p>
    <w:p>
      <w:pPr>
        <w:spacing w:before="20" w:after="20"/>
        <w:ind w:left="170"/>
      </w:pPr>
      <w:r>
        <w:rPr>
          <w:rFonts w:ascii="Calibri" w:hAnsi="Calibri"/>
          <w:b/>
          <w:color w:val="4A6B25"/>
          <w:sz w:val="15"/>
        </w:rPr>
        <w:t xml:space="preserve">3. </w:t>
      </w:r>
      <w:r>
        <w:rPr>
          <w:rFonts w:ascii="Calibri" w:hAnsi="Calibri"/>
          <w:b w:val="0"/>
          <w:color w:val="3A4A28"/>
          <w:sz w:val="17"/>
        </w:rPr>
        <w:t>Securities Fraud Class Action Lawsuit — GlobeNewsWire (Levi &amp; Korsinsky), March 2026</w:t>
      </w:r>
    </w:p>
    <w:p>
      <w:pPr>
        <w:spacing w:before="20" w:after="20"/>
        <w:ind w:left="170"/>
      </w:pPr>
      <w:r>
        <w:rPr>
          <w:rFonts w:ascii="Calibri" w:hAnsi="Calibri"/>
          <w:b/>
          <w:color w:val="4A6B25"/>
          <w:sz w:val="15"/>
        </w:rPr>
        <w:t xml:space="preserve">4. </w:t>
      </w:r>
      <w:r>
        <w:rPr>
          <w:rFonts w:ascii="Calibri" w:hAnsi="Calibri"/>
          <w:b w:val="0"/>
          <w:color w:val="3A4A28"/>
          <w:sz w:val="17"/>
        </w:rPr>
        <w:t>Franklin BSP Realty Trust CEO Transition — Nasdaq/Globe and Mail/StockTitan,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FBRT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