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FCX</w:t>
      </w:r>
      <w:r>
        <w:rPr>
          <w:rFonts w:ascii="Calibri" w:hAnsi="Calibri"/>
          <w:b/>
          <w:color w:val="1A2010"/>
          <w:sz w:val="40"/>
        </w:rPr>
        <w:t xml:space="preserve">  Freeport-McMoRan Inc.</w:t>
      </w:r>
    </w:p>
    <w:p>
      <w:pPr>
        <w:spacing w:after="120"/>
      </w:pPr>
      <w:r>
        <w:rPr>
          <w:rFonts w:ascii="Calibri" w:hAnsi="Calibri"/>
          <w:b/>
          <w:color w:val="6E8450"/>
          <w:sz w:val="18"/>
        </w:rPr>
        <w:t>GROWTH SLEEVE · 2026-08-31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Copper · NYSE · United States</w:t>
      </w:r>
    </w:p>
    <w:p>
      <w:pPr>
        <w:spacing w:after="80"/>
      </w:pPr>
      <w:r>
        <w:rPr>
          <w:rFonts w:ascii="Calibri" w:hAnsi="Calibri"/>
          <w:b w:val="0"/>
          <w:color w:val="3A4A28"/>
          <w:sz w:val="20"/>
        </w:rPr>
        <w:t>Freeport-McMoRan is the world's largest publicly traded copper producer, operating the massive Grasberg minerals district in Indonesia along with significant mining operations in the Americas (Arizona, New Mexico, Colorado, Peru, Chile). The company produces copper, gold, and molybdenum, supplying approximately 8.5% of the world's mined copper. Under CEO Kathleen Quirk since June 2024, the company has secured a life-of-resource extension MOU with Indonesia for Grasberg operating rights past 2041. Q2 2026 net income of $984M with $1.1B adjusted; stock returned 74% over the past year. Market cap of $22.7B.</w:t>
      </w:r>
    </w:p>
    <w:p>
      <w:r>
        <w:rPr>
          <w:rFonts w:ascii="Calibri" w:hAnsi="Calibri"/>
          <w:b/>
          <w:color w:val="6E8450"/>
          <w:sz w:val="18"/>
        </w:rPr>
        <w:t>29,000 Employees · https://fcx.com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Freeport executed one of mining history's most complex engineering transitions at Grasberg from open-pit to underground block-cave mining, while simultaneously deploying its Americas Concentrator AI program to unlock incremental copper production equivalent to a new processing facility [1][2]. Under CEO Kathleen Quirk, the company has pioneered advanced leaching technologies that create 'new' copper from existing assets without the decade-long lead times of greenfield mines, a capital-efficient brownfield expansion model that differentiates FCX from acquisition-driven peers [3]. AI Deployment (2/2): Freeport is an industry leader in AI-driven mining optimization, partnering with McKinsey to deploy machine learning across concentrator operations, achieving measurable increases in copper recovery rates and throughput [2]. Robotics and AI-powered machinery now assist in ore extraction, reducing labor risks and enhancing equipment productivity across operations. Market Share (2/2): As the world's largest publicly traded copper producer supplying ~8.5% of global mined copper, Freeport holds a dominant position in a commodity increasingly called 'the new oil' as electrification and AI infrastructure drive a projected 150,000 metric ton supply deficit in 2026 [3]. Pipeline (1/2): Grasberg phased restart began in Q2 2026 following the September 2025 mud rush, targeting ~1.0B lbs copper in 2026 (similar to 2025) ramping to 1.6B lbs annual average for 2027-2029; consolidated 2026 copper sales guidance of 3.08B lbs reflects Americas operations carrying the load while Grasberg recovers [1]. R&amp;D Intensity (0/1): Mining sector R&amp;D is modest; Freeport invests heavily in operational technology and leaching innovation but not at levels that distinguish it from peers on traditional R&amp;D spend metrics.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Freeport's stated purpose under Quirk centers on 'driving long-term value through efficiency, innovation and disciplined execution,' paired with the sustainability strategy 'Accelerate the Future, Responsibly' [4]. The messaging connects copper mining to the energy transition and electrification, but reads as corporate strategy language rather than a transformative purpose that shapes behavior beyond profit. Community Impact (1/2): The company operates community development programs near mine sites in Papua and the Americas, uses 44% clean energy, and is expanding its electric vehicle fleet [4][5]. However, the September 2025 Grasberg mud rush that killed seven team members, combined with 50+ years of tailings disposal into the Ajikwa River ecosystem, creates significant tension with community and safety claims [5][6]. Employee Retention (1/2): Quirk assumed leadership in June 2024 after Adkerson's 20+ year tenure as chairman, providing an exceptionally smooth CEO transition that preserved institutional knowledge; the 29,000-person specialized workforce shows generally stable retention for the mining industry, though no standout tenure or voluntary turnover data is publicly available [3]. Insider Buying (1/2): Insider activity is roughly neutral; former CEO Adkerson sold approximately 153,000 shares in February 2026 representing 4.8% of his direct holding, while Quirk maintains significant equity exposure through her compensation structure but no notable net insider buying was identified in recent quarters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H1 2026 consolidated net income rose 65% YoY, with Q2 2026 reporting net income of $984M ($1.1B adjusted) and EPS of $0.74 beating consensus by 23% [1][9]. D/E of 34% is exceptionally low for a capital-intensive miner. Forward PEG of 0.49 is outstanding, reflecting projected 44.6% EPS growth as Grasberg restores capacity and copper/gold prices support earnings acceleration. Revenue growth 5yr CAGR of 10.2% meets the target, though TTM revenue growth of 0.19% is minimal — earnings growth is being driven by higher realized metal prices and cost discipline rather than volume expansion. Forward P/E of 22.94x is modestly above the 20 target. ROE of 13.95% is slightly below the 15% target (score 0.93, 2x weight). Profit margin of 8.5% is the primary weakness, typical for capital-intensive mining but well below the 20% ideal. The stock has rallied 74% over the past year to $79.91, easily clearing the liquidity floor at ~$1.3B daily traded value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Freeport demonstrates meaningful infinite game qualities across the Adkerson-to-Quirk leadership era — the patient multi-billion dollar Grasberg underground conversion, the decisive exit from oil and gas to refocus entirely on copper's long-term role in electrification, and the AI-driven operational transformation reflect a company built to endure through commodity cycles. Quirk's transparent handling of the fatal September 2025 Grasberg mud rush and decision to maintain dividends despite the production halt showed leadership consistency under crisis. However, the commodity nature of the business, Grasberg's environmental and safety legacy, and the inherently cyclical earnings profile temper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Freeport's purpose of responsibly producing copper to enable the global energy transition is genuine and increasingly validated — copper is essential infrastructure for AI data centers, EV adoption, renewable energy, and grid electrification, and Quirk has framed this as the 'new oil' thesis positioning the company's work as critical to the world's energy future [3][4]. However, the 50-year environmental record at Grasberg, including massive tailings disposal into the Ajikwa River system, and the September 2025 mud rush that killed seven workers, create significant tension with the 'responsibly' component of this cause. The cause is partially lived — connecting the company's work to something bigger — but not yet fully validated through multi-decade consistency of responsible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Adkerson to Quirk in June 2024 was exceptionally smooth, with Quirk having served as CFO and President for years, preserving institutional continuity and demonstrating a culture of planned succession [3]. The successful deployment of AI and machine learning across mining operations required genuine cross-functional trust between traditional miners, metallurgists, and data scientists — a culture shift that speaks to organizational adaptability [2]. However, the September 2025 mud rush fatalities raise questions about safety culture at Grasberg, and mining industry culture is inherently hierarchical with trust varying significantly across 29,000 employees at sites spanning four countries.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Quirk explicitly differentiates Freeport's strategy from peers like BHP, choosing advanced leaching technologies and brownfield optimization over BHP's high-cost, high-risk acquisition approach — acknowledging the rival's scale while using its strategic posture to sharpen Freeport's own capital-efficient path [3]. Management frames competition as motivation to innovate rather than a zero-sum war, recognizing that Southern Copper, Rio Tinto, and other producers drive industry-wide technology adoption that raises operational standards for all participants.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Freeport has fundamentally reinvented itself twice — first by divesting its entire oil and gas business in 2016 (acquired through the McMoRan and Plains Exploration acquisitions in 2013) to become a pure-play copper/gold miner when copper prices were depressed, a painful but strategically clarifying move that cost billions in write-downs [4]. Second, the multi-billion dollar transition at Grasberg from open-pit to underground block-cave mining fundamentally changed the extraction method at the company's most important asset, extending its productive life by decades at enormous cost and engineering risk. Under Quirk, the pivot from traditional high-capex greenfield expansion to leaching innovation represents a third strategic evolution — creating 'new' copper from existing stockpiles without decade-long development timelines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Freeport committed billions to the Grasberg underground transition during a copper price downturn, and continues investing $4.3-4.5B annually in capex for 2026-2027 through the uncertainty of the mud rush recovery [1]. Quirk's decision to maintain dividend payments despite the September 2025 Grasberg production halt and force majeure declaration demonstrated confidence in the long-term business when cutting would have been the financially conservative choice [3][6]. The oil and gas divestiture under Adkerson showed willingness to exit a major business segment. These represent meaningful courage, but the decisions were partly shaped by financial necessity rather than purely voluntary sacrifice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Freeport-McMoRan is the world's premier pure-play copper producer positioned at the intersection of three secular demand drivers: AI data center construction, renewable energy infrastructure, and vehicle electrification. H1 2026 net income rose 65% YoY, with Q2 2026 delivering $984M net income ($1.1B adjusted) and EPS of $0.74 beating consensus by 23%, while copper prices and upgraded guidance for copper and gold sales in H2 2026 and 2027 signal continued earnings momentum [1][9]. The critical strategic milestone is the life-of-resource extension MOU with the Indonesian government, securing Grasberg operating rights past 2041 and removing the single largest long-term risk overhang on the stock [9]. Management guides 2026 operating cash flow of $8.7B assuming $6/lb copper and $4,500/oz gold, while the forward PEG of 0.49 reflects projected 44.6% EPS growth [1][3]. The stock has returned 74% over the past year to $79.91, driven by the structural copper supply deficit narrative and Quirk's leaching innovation strategy that creates incremental copper from existing assets [3][8].</w:t>
      </w:r>
    </w:p>
    <w:p>
      <w:pPr>
        <w:spacing w:after="120"/>
      </w:pPr>
      <w:r>
        <w:rPr>
          <w:rFonts w:ascii="Calibri" w:hAnsi="Calibri"/>
          <w:b w:val="0"/>
          <w:color w:val="3A4A28"/>
          <w:sz w:val="20"/>
        </w:rPr>
        <w:t>The bear case centers on valuation stretch after a 74% rally, Grasberg execution risk, and copper price cyclicality. The trailing P/E of 46.19x reflects the Grasberg-impacted earnings base and a stock price that may have run ahead of fundamentals [8]. The September 2025 mud rush — which killed seven workers and triggered force majeure — forced management to revise Grasberg production down approximately 9% for copper and 7% for gold over five years, with the phased restart targeting 80% capacity by mid-2027 [1][6]. While the life-of-resource extension MOU secures Grasberg past 2041, it required divesting a 12% stake in PT Freeport Indonesia to the government for free, diluting FCX's economic interest [9]. Profit margin of 8.5% and ROE of 13.95% remain below targets — a copper correction to $3.50/lb would compress EBITDA by 40%+ and strain the $4.3-4.5B annual capex commitment. Grasberg's environmental legacy, including 50+ years of tailings disposal into the Ajikwa River and the 2025 fatalities, exposes FCX to future remediation costs and regulatory action. The Inspire Impact Score of 39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Grasberg phased restart targeting 65% capacity in H2 2026 and 80% by mid-2027, with average annual production of 1.6B lbs copper and 1.3M oz gold for 2027-2029 driving substantial earnings recovery from the mud-rush-impacted base [1]</w:t>
      </w:r>
    </w:p>
    <w:p>
      <w:pPr>
        <w:spacing w:before="40" w:after="40"/>
        <w:ind w:left="283"/>
      </w:pPr>
      <w:r>
        <w:rPr>
          <w:rFonts w:ascii="Calibri" w:hAnsi="Calibri"/>
          <w:b/>
          <w:color w:val="4A6B25"/>
          <w:sz w:val="20"/>
        </w:rPr>
        <w:t xml:space="preserve">2. </w:t>
      </w:r>
      <w:r>
        <w:rPr>
          <w:rFonts w:ascii="Calibri" w:hAnsi="Calibri"/>
          <w:b w:val="0"/>
          <w:color w:val="3A4A28"/>
          <w:sz w:val="20"/>
        </w:rPr>
        <w:t>Structural copper supply deficit of 150,000 metric tons in 2026 driven by AI data center construction, EV adoption, and grid electrification supporting sustained $5+/lb copper prices and multi-year demand visibility [3]</w:t>
      </w:r>
    </w:p>
    <w:p>
      <w:pPr>
        <w:spacing w:before="40" w:after="40"/>
        <w:ind w:left="283"/>
      </w:pPr>
      <w:r>
        <w:rPr>
          <w:rFonts w:ascii="Calibri" w:hAnsi="Calibri"/>
          <w:b/>
          <w:color w:val="4A6B25"/>
          <w:sz w:val="20"/>
        </w:rPr>
        <w:t xml:space="preserve">3. </w:t>
      </w:r>
      <w:r>
        <w:rPr>
          <w:rFonts w:ascii="Calibri" w:hAnsi="Calibri"/>
          <w:b w:val="0"/>
          <w:color w:val="3A4A28"/>
          <w:sz w:val="20"/>
        </w:rPr>
        <w:t>Quirk's leaching innovation strategy creating incremental copper production from existing stockpiles and brownfield assets without greenfield capital intensity, potentially unlocking billions of lbs of additional recoverable copper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Copper price cyclicality — a correction from current $5.50+/lb to $3.50/lb would slash EBITDA by 40%+ and stress the $4.3-4.5B annual capex program, as profit margin of 8.5% provides thin cushion against commodity downturns [1]</w:t>
      </w:r>
    </w:p>
    <w:p>
      <w:pPr>
        <w:spacing w:before="40" w:after="40"/>
        <w:ind w:left="283"/>
      </w:pPr>
      <w:r>
        <w:rPr>
          <w:rFonts w:ascii="Calibri" w:hAnsi="Calibri"/>
          <w:b/>
          <w:color w:val="4A6B25"/>
          <w:sz w:val="20"/>
        </w:rPr>
        <w:t xml:space="preserve">2. </w:t>
      </w:r>
      <w:r>
        <w:rPr>
          <w:rFonts w:ascii="Calibri" w:hAnsi="Calibri"/>
          <w:b w:val="0"/>
          <w:color w:val="3A4A28"/>
          <w:sz w:val="20"/>
        </w:rPr>
        <w:t>Grasberg execution risk — the September 2025 mud rush killed seven workers, triggered force majeure, and forced a 9% reduction in 5-year copper production guidance; underground block-cave operations face ongoing geological uncertainties as the restart progresses [1][6]</w:t>
      </w:r>
    </w:p>
    <w:p>
      <w:pPr>
        <w:spacing w:before="40" w:after="40"/>
        <w:ind w:left="283"/>
      </w:pPr>
      <w:r>
        <w:rPr>
          <w:rFonts w:ascii="Calibri" w:hAnsi="Calibri"/>
          <w:b/>
          <w:color w:val="4A6B25"/>
          <w:sz w:val="20"/>
        </w:rPr>
        <w:t xml:space="preserve">3. </w:t>
      </w:r>
      <w:r>
        <w:rPr>
          <w:rFonts w:ascii="Calibri" w:hAnsi="Calibri"/>
          <w:b w:val="0"/>
          <w:color w:val="3A4A28"/>
          <w:sz w:val="20"/>
        </w:rPr>
        <w:t>Indonesian political and regulatory risk — the government's 51% ownership of PT Freeport Indonesia and history of using export permits, tax policy, and environmental compliance as leverage creates structural uncertainty around the company's highest-value asset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Freeport-McMoRan is structurally immune to AI disruption — copper mining involves physical extraction, processing, and global logistics that AI cannot replace [2]. More critically, AI is a direct demand driver for Freeport's core product: each AI data center requires massive copper wiring for power distribution, cooling systems, and networking infrastructure, contributing to a projected 150,000 metric ton copper supply deficit in 2026 [3]. CEO Quirk has positioned copper as 'the new oil' for the AI era, and no analysts identify AI as a substitution risk — the convergence of electrification, EV adoption, and renewable energy infrastructure further insulates the business from any AI-driven demand destruction. AI Opportunity (1/1): Freeport generates measurable operational value from AI through its Americas Concentrator program, using machine learning to optimize copper recovery rates and processing throughput, effectively creating the equivalent of a new processing facility's output without capital expenditure [2]. AI-powered predictive maintenance and robotics-assisted ore extraction reduce downtime and labor risk across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Freeport-McMoRan Q1 2026 Earnings Release (8-K Filing), April 23, 2026 — $6.23B revenue, $881M net income, 657M lbs copper at $5.78/lb, 2026 guidance of 3.08B lbs copper and $8.7B OCF</w:t>
      </w:r>
    </w:p>
    <w:p>
      <w:pPr>
        <w:spacing w:before="20" w:after="20"/>
        <w:ind w:left="170"/>
      </w:pPr>
      <w:r>
        <w:rPr>
          <w:rFonts w:ascii="Calibri" w:hAnsi="Calibri"/>
          <w:b/>
          <w:color w:val="4A6B25"/>
          <w:sz w:val="15"/>
        </w:rPr>
        <w:t xml:space="preserve">2. </w:t>
      </w:r>
      <w:r>
        <w:rPr>
          <w:rFonts w:ascii="Calibri" w:hAnsi="Calibri"/>
          <w:b w:val="0"/>
          <w:color w:val="3A4A28"/>
          <w:sz w:val="17"/>
        </w:rPr>
        <w:t>McKinsey Digital — 'How Freeport is Leading AI in Mining' — Americas Concentrator AI program, machine learning deployment for copper recovery optimization</w:t>
      </w:r>
    </w:p>
    <w:p>
      <w:pPr>
        <w:spacing w:before="20" w:after="20"/>
        <w:ind w:left="170"/>
      </w:pPr>
      <w:r>
        <w:rPr>
          <w:rFonts w:ascii="Calibri" w:hAnsi="Calibri"/>
          <w:b/>
          <w:color w:val="4A6B25"/>
          <w:sz w:val="15"/>
        </w:rPr>
        <w:t xml:space="preserve">3. </w:t>
      </w:r>
      <w:r>
        <w:rPr>
          <w:rFonts w:ascii="Calibri" w:hAnsi="Calibri"/>
          <w:b w:val="0"/>
          <w:color w:val="3A4A28"/>
          <w:sz w:val="17"/>
        </w:rPr>
        <w:t>Skillings Mining Review — 'The Tech-Mining Power List: 5 CEOs Leading the AI-Energy Nexus in 2026' — Quirk's leaching innovation strategy and copper-as-'new-oil' positioning</w:t>
      </w:r>
    </w:p>
    <w:p>
      <w:pPr>
        <w:spacing w:before="20" w:after="20"/>
        <w:ind w:left="170"/>
      </w:pPr>
      <w:r>
        <w:rPr>
          <w:rFonts w:ascii="Calibri" w:hAnsi="Calibri"/>
          <w:b/>
          <w:color w:val="4A6B25"/>
          <w:sz w:val="15"/>
        </w:rPr>
        <w:t xml:space="preserve">4. </w:t>
      </w:r>
      <w:r>
        <w:rPr>
          <w:rFonts w:ascii="Calibri" w:hAnsi="Calibri"/>
          <w:b w:val="0"/>
          <w:color w:val="3A4A28"/>
          <w:sz w:val="17"/>
        </w:rPr>
        <w:t>Freeport-McMoRan Sustainability Report and Corporate Purpose — 'Accelerate the Future, Responsibly' strategy</w:t>
      </w:r>
    </w:p>
    <w:p>
      <w:pPr>
        <w:spacing w:before="20" w:after="20"/>
        <w:ind w:left="170"/>
      </w:pPr>
      <w:r>
        <w:rPr>
          <w:rFonts w:ascii="Calibri" w:hAnsi="Calibri"/>
          <w:b/>
          <w:color w:val="4A6B25"/>
          <w:sz w:val="15"/>
        </w:rPr>
        <w:t xml:space="preserve">5. </w:t>
      </w:r>
      <w:r>
        <w:rPr>
          <w:rFonts w:ascii="Calibri" w:hAnsi="Calibri"/>
          <w:b w:val="0"/>
          <w:color w:val="3A4A28"/>
          <w:sz w:val="17"/>
        </w:rPr>
        <w:t>AInvest — 'Freeport-McMoRan and Corporate Governance Risks in the Mining Sector' — ESG compliance, environmental liability, and governance analysis, 2025</w:t>
      </w:r>
    </w:p>
    <w:p>
      <w:pPr>
        <w:spacing w:before="20" w:after="20"/>
        <w:ind w:left="170"/>
      </w:pPr>
      <w:r>
        <w:rPr>
          <w:rFonts w:ascii="Calibri" w:hAnsi="Calibri"/>
          <w:b/>
          <w:color w:val="4A6B25"/>
          <w:sz w:val="15"/>
        </w:rPr>
        <w:t xml:space="preserve">6. </w:t>
      </w:r>
      <w:r>
        <w:rPr>
          <w:rFonts w:ascii="Calibri" w:hAnsi="Calibri"/>
          <w:b w:val="0"/>
          <w:color w:val="3A4A28"/>
          <w:sz w:val="17"/>
        </w:rPr>
        <w:t>Freeport-McMoRan Investor Relations — Grasberg mud rush incident update, September-October 2025; seven fatalities, force majeure declaration, phased restart plan</w:t>
      </w:r>
    </w:p>
    <w:p>
      <w:pPr>
        <w:spacing w:before="20" w:after="20"/>
        <w:ind w:left="170"/>
      </w:pPr>
      <w:r>
        <w:rPr>
          <w:rFonts w:ascii="Calibri" w:hAnsi="Calibri"/>
          <w:b/>
          <w:color w:val="4A6B25"/>
          <w:sz w:val="15"/>
        </w:rPr>
        <w:t xml:space="preserve">7. </w:t>
      </w:r>
      <w:r>
        <w:rPr>
          <w:rFonts w:ascii="Calibri" w:hAnsi="Calibri"/>
          <w:b w:val="0"/>
          <w:color w:val="3A4A28"/>
          <w:sz w:val="17"/>
        </w:rPr>
        <w:t>MarketBeat / InsiderTrades — FCX insider trading activity 2026, Adkerson share sales February 2026</w:t>
      </w:r>
    </w:p>
    <w:p>
      <w:pPr>
        <w:spacing w:before="20" w:after="20"/>
        <w:ind w:left="170"/>
      </w:pPr>
      <w:r>
        <w:rPr>
          <w:rFonts w:ascii="Calibri" w:hAnsi="Calibri"/>
          <w:b/>
          <w:color w:val="4A6B25"/>
          <w:sz w:val="15"/>
        </w:rPr>
        <w:t xml:space="preserve">8. </w:t>
      </w:r>
      <w:r>
        <w:rPr>
          <w:rFonts w:ascii="Calibri" w:hAnsi="Calibri"/>
          <w:b w:val="0"/>
          <w:color w:val="3A4A28"/>
          <w:sz w:val="17"/>
        </w:rPr>
        <w:t>Yahoo Finance / StockAnalysis — FCX key statistics, valuation metrics, and financial data, accessed August 2026</w:t>
      </w:r>
    </w:p>
    <w:p>
      <w:pPr>
        <w:spacing w:before="20" w:after="20"/>
        <w:ind w:left="170"/>
      </w:pPr>
      <w:r>
        <w:rPr>
          <w:rFonts w:ascii="Calibri" w:hAnsi="Calibri"/>
          <w:b/>
          <w:color w:val="4A6B25"/>
          <w:sz w:val="15"/>
        </w:rPr>
        <w:t xml:space="preserve">9. </w:t>
      </w:r>
      <w:r>
        <w:rPr>
          <w:rFonts w:ascii="Calibri" w:hAnsi="Calibri"/>
          <w:b w:val="0"/>
          <w:color w:val="3A4A28"/>
          <w:sz w:val="17"/>
        </w:rPr>
        <w:t>Freeport-McMoRan Q2 2026 Earnings and Grasberg Life-of-Resource Extension MOU — Net Income $984M, EPS $0.74, H1 2026 Net Income +65% YoY, Indonesia Operating Rights Extension Past 2041, July-August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