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FER</w:t>
      </w:r>
      <w:r>
        <w:rPr>
          <w:rFonts w:ascii="Calibri" w:hAnsi="Calibri"/>
          <w:b/>
          <w:color w:val="1A2010"/>
          <w:sz w:val="40"/>
        </w:rPr>
        <w:t xml:space="preserve">  Ferrovial N.V.</w:t>
      </w:r>
    </w:p>
    <w:p>
      <w:pPr>
        <w:spacing w:after="120"/>
      </w:pPr>
      <w:r>
        <w:rPr>
          <w:rFonts w:ascii="Calibri" w:hAnsi="Calibri"/>
          <w:b/>
          <w:color w:val="6E8450"/>
          <w:sz w:val="18"/>
        </w:rPr>
        <w:t>DIVIDEND SLEEVE · 2026-09-22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Netherlands</w:t>
      </w:r>
    </w:p>
    <w:p>
      <w:pPr>
        <w:spacing w:after="80"/>
      </w:pPr>
      <w:r>
        <w:rPr>
          <w:rFonts w:ascii="Calibri" w:hAnsi="Calibri"/>
          <w:b w:val="0"/>
          <w:color w:val="3A4A28"/>
          <w:sz w:val="20"/>
        </w:rPr>
        <w:t>Ferrovial N.V. is a global infrastructure operator and developer founded in 1952, operating through four segments: Construction, Highways, Airports, and Energy. The company develops, finances, and operates toll roads (including the 407 ETR in Toronto), airports (New Terminal One at JFK, 87% complete), and energy transmission/renewable infrastructure across the U.S., Canada, U.K., Spain, Poland, and internationally. Ferrovial relocated from Spain to the Netherlands and listed on NASDAQ in 2024 to access U.S. capital markets. Q1 2026 revenue was EUR 2.1B with like-for-like growth of 10.2% and EBITDA growth of 15%. CEO Ignacio Madridejos has led since 2019.</w:t>
      </w:r>
    </w:p>
    <w:p>
      <w:r>
        <w:rPr>
          <w:rFonts w:ascii="Calibri" w:hAnsi="Calibri"/>
          <w:b/>
          <w:color w:val="6E8450"/>
          <w:sz w:val="18"/>
        </w:rPr>
        <w:t>22,359 Employees · https://www.ferrovial.com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Ferrovial executed a transformative strategic pivot — relocating headquarters from Spain to the Netherlands and listing on NASDAQ in 2024, positioning the company closer to its largest growth market (North America accounts for 47% of its EUR 18B order book) [1]. The expansion into energy infrastructure (transmission and renewable generation) added a fourth business segment. The 407 ETR tollway showed 20.2% revenue growth and 24.4% EBITDA growth in H1 2026, demonstrating ongoing operational transformation [2]. AI Deployment (1/2): 100% of Ferrovial's 22,000+ employees have access to Microsoft Copilot with 90% actively using it — a remarkably high adoption rate [3]. The company partnered with DXC Technology to develop the Quercus AI platform using generative AI for infrastructure operations. However, no specific AI revenue or quantified cost savings have been disclosed. Market Share (1/2): Ferrovial is a leading global infrastructure developer with dominant positions in U.S. managed toll lanes (Texas, Virginia) and the 407 ETR, the world's first all-electronic toll highway [1]. Market leadership is strongest in toll road concessions but the company is not the overall category leader in construction. Product Pipeline (1/2): Record construction order book of EUR 18B provides multi-year visibility, with the New Terminal One at JFK reaching 87% physical completion and Phase A DBO targeted for March 2027 [2]. North America represents 47% of the backlog. R&amp;D Intensity (1/1): Ferrovial's dedicated CIIO (Chief Information and Innovation Officer) Dimitris Bountolos, the Digital Hub, and the 'Build UP!' innovation program sourcing startup solutions demonstrate above-average innovation investment for engineering and construction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Ferrovial's purpose centers on developing sustainable infrastructure that improves mobility and quality of life. The company articulates this through decades of execution across highways, airports, and energy, but the mission is fairly standard for a large infrastructure company and interchangeable with several global peers [4]. Community Impact (2/2): Ferrovial has been on the Dow Jones Sustainability Index for 23 consecutive years (scoring 81/100 in 2024), on the CDP Climate Change A List for 15 consecutive years, and on the CDP Water A List for the second consecutive year [4]. Drinking water and sanitation programs have benefited more than 336,000 people in vulnerable communities — a specific and measurable social impact program. These represent genuine and long-standing commitments. Employee Retention (0/2): No specific employee retention or tenure data was identified. Glassdoor reviews cite a centralized Spanish 'command and control' culture for experienced hires, suggesting cultural tensions between the traditional operations and newer innovation functions [3]. Insider Buying (0/2): No evidence of meaningful net insider buying by executives in the last 12 months was identified. The company guided for approximately EUR 1B in 2026 shareholder returns (buyback + scrip dividend), which is corporate-level capital allocation rather than personal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Ferrovial demonstrates solid operational growth with Q1 2026 like-for-like revenue growth of 10.2% and EBITDA growth of 15%, though reported YoY revenue growth was 5.2% due to currency effects [1]. D/E of 144.1% is elevated (score 0.68) but expected for infrastructure companies with project-financed concession assets. ROE of 11.6% is below the 15% target (score 0.77). Forward P/E of 41.16x is expensive for the 20x target (score 0.47), reflecting the premium for long-duration infrastructure concessions. Profit margin of 6.1% is thin (score 0.31), typical of construction-heavy businesses. The GAAP payout ratio of 134% scores 0, though Ferrovial's dividend is funded from concession cash flows rather than reported GAAP earnings. Consecutive years paid (20+, score 1.0 at 2x weight) and dividend growth CAGR (~8%, score 1.0 at 2x weight) provide strong dividend fundamentals. NASDAQ daily volume has improved significantly to ~1.46M shares, giving $81.5M daily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Ferrovial demonstrates meaningful infinite game characteristics as a 74-year-old infrastructure company that has successfully evolved from a Spanish construction firm into a global infrastructure operator listed on NASDAQ. The long-duration concession model — 30-50 year toll road and airport agreements — inherently requires long-term thinking. The DJSI membership for 23 consecutive years and CDP Climate A List for 15 years reflect enduring sustainability commitments. However, the company's competitive language is more focused on scale and market position than on advancing a transformative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Ferrovial's cause — building and operating infrastructure that improves people's mobility and quality of life — has been validated by 74 years of consistent execution since 1952, growing from a family-founded Spanish construction company to a global infrastructure leader [1][4]. The 23-year DJSI membership and 15-year CDP Climate A List demonstrate the cause extends beyond profit to genuine sustainability commitment. However, infrastructure development is fundamentally a business model rather than a transformative 'future state that does not yet exist' in Sinek's framework — Ferrovial builds what governments commission.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Digital Hub operates on a collaborative 'no hierarchy' model designed to empower employees, the 'Build UP!' innovation program encourages ideas from all 22,000+ employees, and the Innovation Community Summit brings together professionals from around the world every two years [3]. CEO Madridejos has led since 2019 with stable executive continuity. However, Glassdoor reviews cite a centralized Spanish 'command and control' culture for experienced hires, suggesting trust is unevenly distributed between innovation functions and traditional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Ferrovial's management referencing competitors (Vinci, ACS, Brookfield) as sources of learning or self-improvement was identified. The 'Build UP!' program sources solutions from startups, which suggests openness to external innovation, but competitive language focuses on Ferrovial's scale and capabilities rather than acknowledging rivals' strengths or framing competition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Ferrovial has evolved meaningfully over 74 years — from pure Spanish construction to global infrastructure concessions, from highways to airports to energy, and from Madrid to Amsterdam/NASDAQ [1]. The sale of the services division and Heathrow stake to concentrate on North American concessions were significant strategic pivots. However, these were incremental evolutions of the business model rather than transformative reinventions — the company has always been in infrastructure, just in different forms.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Madridejos made a bold and politically costly decision to relocate Ferrovial's domicile from Spain to the Netherlands and list on NASDAQ in 2024, facing significant political backlash in Spain (government opposition, media criticism) but positioning the company closer to its largest growth market and U.S. investor base [1]. The expansion into energy infrastructure as a fourth segment represents forward-looking investment in the energy transition. However, these are strategic repositioning moves rather than the kind of painful sacrifice of short-term earnings in service of a cause that Sinek values most.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Ferrovial is a premier global infrastructure operator with a 74-year track record, reporting Q1 2026 like-for-like revenue growth of 10.2% and EBITDA growth of 15%, driven by the Highways division where U.S. managed lanes EBITDA rose 11.6% and 407 ETR revenue surged 20.2% on higher toll rates [1][2]. The record construction order book of EUR 18B (47% in North America) provides exceptional multi-year revenue visibility. The long-duration concession model — 30-50 year toll road and airport agreements — delivers inflation-protected recurring revenue with defensive characteristics. At $55.95, the stock has corrected 25% from its 52-week high of $74.79, improving the valuation to 41.2x forward P/E from 56.6x [5]. AI immunity (physical infrastructure cannot be digitally displaced), strong ESG credentials (23-year DJSI, 15-year CDP A List), and a 2.96% dividend yield make FER a defensive infrastructure holding with growth optionality from the U.S. infrastructure spending cycle and NTO at JFK opening [4].</w:t>
      </w:r>
    </w:p>
    <w:p>
      <w:pPr>
        <w:spacing w:after="120"/>
      </w:pPr>
      <w:r>
        <w:rPr>
          <w:rFonts w:ascii="Calibri" w:hAnsi="Calibri"/>
          <w:b w:val="0"/>
          <w:color w:val="3A4A28"/>
          <w:sz w:val="20"/>
        </w:rPr>
        <w:t>The bear case centers on premium valuation, thin margins, and earnings volatility. Forward P/E of 41.2x and PEG of 10.06 remain expensive for a business with 5.2% reported revenue growth and 6.1% profit margins — the stock requires sustained high growth for years to justify multiples well above infrastructure peers [5]. Earnings growth of -52% YoY reflects the absence of prior-year non-recurring capital gains, demonstrating income statement volatility that belies the stable underlying concession economics. D/E of 144% reflects significant leverage in concession project finance, creating refinancing risk if rates stay elevated. The NTO at JFK has submitted a remedial completion plan pushing Phase A DBO to March 2027, introducing execution risk on Ferrovial's most visible U.S. project [2]. Inspire score of 0 (MIXED) with no positive or negative attributions provides no faith-alignment signal. The company's Spanish 'command and control' culture (per Glassdoor) may limit innovation execution despite high Copilot adoption 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infrastructure spending cycle with Ferrovial positioned to capture managed toll lane and highway concession awards, supported by the record EUR 18B construction order book with 47% in North America [1]</w:t>
      </w:r>
    </w:p>
    <w:p>
      <w:pPr>
        <w:spacing w:before="40" w:after="40"/>
        <w:ind w:left="283"/>
      </w:pPr>
      <w:r>
        <w:rPr>
          <w:rFonts w:ascii="Calibri" w:hAnsi="Calibri"/>
          <w:b/>
          <w:color w:val="4A6B25"/>
          <w:sz w:val="20"/>
        </w:rPr>
        <w:t xml:space="preserve">2. </w:t>
      </w:r>
      <w:r>
        <w:rPr>
          <w:rFonts w:ascii="Calibri" w:hAnsi="Calibri"/>
          <w:b w:val="0"/>
          <w:color w:val="3A4A28"/>
          <w:sz w:val="20"/>
        </w:rPr>
        <w:t>407 ETR toll revenue growth of 20.2% and EBITDA growth of 24.4% in H1 2026 demonstrating the concession model's pricing power and inflation protection — a crown jewel asset generating recurring cash flows [2]</w:t>
      </w:r>
    </w:p>
    <w:p>
      <w:pPr>
        <w:spacing w:before="40" w:after="40"/>
        <w:ind w:left="283"/>
      </w:pPr>
      <w:r>
        <w:rPr>
          <w:rFonts w:ascii="Calibri" w:hAnsi="Calibri"/>
          <w:b/>
          <w:color w:val="4A6B25"/>
          <w:sz w:val="20"/>
        </w:rPr>
        <w:t xml:space="preserve">3. </w:t>
      </w:r>
      <w:r>
        <w:rPr>
          <w:rFonts w:ascii="Calibri" w:hAnsi="Calibri"/>
          <w:b w:val="0"/>
          <w:color w:val="3A4A28"/>
          <w:sz w:val="20"/>
        </w:rPr>
        <w:t>New Terminal One at JFK reaching 87% physical completion with Phase A DBO targeted for March 2027, unlocking a new long-duration airport concession asset in the world's largest aviation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41.2x forward P/E and 10.06x PEG ratio prices in sustained growth that the 5.2% reported revenue growth and 6.1% profit margins may not deliver, with earnings volatility (-52% YoY) creating downside risk if results disappoint [5]</w:t>
      </w:r>
    </w:p>
    <w:p>
      <w:pPr>
        <w:spacing w:before="40" w:after="40"/>
        <w:ind w:left="283"/>
      </w:pPr>
      <w:r>
        <w:rPr>
          <w:rFonts w:ascii="Calibri" w:hAnsi="Calibri"/>
          <w:b/>
          <w:color w:val="4A6B25"/>
          <w:sz w:val="20"/>
        </w:rPr>
        <w:t xml:space="preserve">2. </w:t>
      </w:r>
      <w:r>
        <w:rPr>
          <w:rFonts w:ascii="Calibri" w:hAnsi="Calibri"/>
          <w:b w:val="0"/>
          <w:color w:val="3A4A28"/>
          <w:sz w:val="20"/>
        </w:rPr>
        <w:t>NTO at JFK execution risk — the project has submitted a remedial completion plan pushing Phase A DBO to March 2027, and cost overruns or further delays on this flagship U.S. project could damage credibility and capital returns [2]</w:t>
      </w:r>
    </w:p>
    <w:p>
      <w:pPr>
        <w:spacing w:before="40" w:after="40"/>
        <w:ind w:left="283"/>
      </w:pPr>
      <w:r>
        <w:rPr>
          <w:rFonts w:ascii="Calibri" w:hAnsi="Calibri"/>
          <w:b/>
          <w:color w:val="4A6B25"/>
          <w:sz w:val="20"/>
        </w:rPr>
        <w:t xml:space="preserve">3. </w:t>
      </w:r>
      <w:r>
        <w:rPr>
          <w:rFonts w:ascii="Calibri" w:hAnsi="Calibri"/>
          <w:b w:val="0"/>
          <w:color w:val="3A4A28"/>
          <w:sz w:val="20"/>
        </w:rPr>
        <w:t>Elevated leverage (D/E 144%, EUR 10.7B total debt) in a high-rate environment creates refinancing risk across the concession portfolio, with thin 6.1% profit margins providing minimal buffer against cost pressures or traffic volume shortfalls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Ferrovial's core business — operating toll roads, building highways, managing airports, and developing energy infrastructure — is fundamentally physical-world infrastructure that AI structurally cannot substitute [1]. Toll road concessions generate revenue from vehicle traffic on physical roads with 30-50 year agreements; airports require physical terminals and runways; construction involves heavy equipment, materials, and on-site labor. These are deeply regulated, capital-intensive physical assets with massive barriers to entry. AI cannot replace a highway or an airport terminal. Furthermore, AI expansion actually increases demand for the energy and data center infrastructure that Ferrovial's Energy segment is positioned to build. No analyst has flagged AI as a disruption risk for infrastructure operators. AI Opportunity (1/1): Ferrovial generates meaningful operational value from AI: 100% of employees have Microsoft Copilot access with 90% adoption, the Quercus AI platform (developed with DXC Technology) deploys generative AI for infrastructure operations, and the CIIO drives digital transformation including AI-enabled traffic management and construction optimization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Ferrovial Q1 2026 Earnings — Revenue EUR 2.1B (+1.9% reported, +10.2% like-for-like), EBITDA EUR 321M (+4%), U.S. Managed Lanes EBITDA $270M (+11.6%), Record EUR 18B Order Book, May 2026</w:t>
      </w:r>
    </w:p>
    <w:p>
      <w:pPr>
        <w:spacing w:before="20" w:after="20"/>
        <w:ind w:left="170"/>
      </w:pPr>
      <w:r>
        <w:rPr>
          <w:rFonts w:ascii="Calibri" w:hAnsi="Calibri"/>
          <w:b/>
          <w:color w:val="4A6B25"/>
          <w:sz w:val="15"/>
        </w:rPr>
        <w:t xml:space="preserve">2. </w:t>
      </w:r>
      <w:r>
        <w:rPr>
          <w:rFonts w:ascii="Calibri" w:hAnsi="Calibri"/>
          <w:b w:val="0"/>
          <w:color w:val="3A4A28"/>
          <w:sz w:val="17"/>
        </w:rPr>
        <w:t>Ferrovial H1 2026 Results — 407 ETR Revenue +20.2%, EBITDA +24.4%; NTO at JFK 87% Complete, Phase A DBO March 2027; Investing.com/StockTitan, July 2026</w:t>
      </w:r>
    </w:p>
    <w:p>
      <w:pPr>
        <w:spacing w:before="20" w:after="20"/>
        <w:ind w:left="170"/>
      </w:pPr>
      <w:r>
        <w:rPr>
          <w:rFonts w:ascii="Calibri" w:hAnsi="Calibri"/>
          <w:b/>
          <w:color w:val="4A6B25"/>
          <w:sz w:val="15"/>
        </w:rPr>
        <w:t xml:space="preserve">3. </w:t>
      </w:r>
      <w:r>
        <w:rPr>
          <w:rFonts w:ascii="Calibri" w:hAnsi="Calibri"/>
          <w:b w:val="0"/>
          <w:color w:val="3A4A28"/>
          <w:sz w:val="17"/>
        </w:rPr>
        <w:t>Ferrovial Digital Transformation — 100% Microsoft Copilot Access, 90% Adoption, Quercus AI Platform with DXC Technology, CIIO Dimitris Bountolos, Build UP! Innovation Program; Diginomica/ConstructionDive, 2024-2026</w:t>
      </w:r>
    </w:p>
    <w:p>
      <w:pPr>
        <w:spacing w:before="20" w:after="20"/>
        <w:ind w:left="170"/>
      </w:pPr>
      <w:r>
        <w:rPr>
          <w:rFonts w:ascii="Calibri" w:hAnsi="Calibri"/>
          <w:b/>
          <w:color w:val="4A6B25"/>
          <w:sz w:val="15"/>
        </w:rPr>
        <w:t xml:space="preserve">4. </w:t>
      </w:r>
      <w:r>
        <w:rPr>
          <w:rFonts w:ascii="Calibri" w:hAnsi="Calibri"/>
          <w:b w:val="0"/>
          <w:color w:val="3A4A28"/>
          <w:sz w:val="17"/>
        </w:rPr>
        <w:t>Ferrovial ESG — DJSI Best-in-Class 23 Consecutive Years (81/100), CDP Climate A List 15 Years, CDP Water A List, 336,000+ People Benefited from Water Programs; Ferrovial.com/SEC Filings,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FER Key Statistics: Forward P/E 41.16x, ROE 11.6%, Profit Margin 6.1%, D/E 144.1%, Stock Price $55.95, Avg Volume 1.46M,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