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FHN</w:t>
      </w:r>
      <w:r>
        <w:rPr>
          <w:rFonts w:ascii="Calibri" w:hAnsi="Calibri"/>
          <w:b/>
          <w:color w:val="1A2010"/>
          <w:sz w:val="40"/>
        </w:rPr>
        <w:t xml:space="preserve">  First Horizon Corporation</w:t>
      </w:r>
    </w:p>
    <w:p>
      <w:pPr>
        <w:spacing w:after="120"/>
      </w:pPr>
      <w:r>
        <w:rPr>
          <w:rFonts w:ascii="Calibri" w:hAnsi="Calibri"/>
          <w:b/>
          <w:color w:val="6E8450"/>
          <w:sz w:val="18"/>
        </w:rPr>
        <w:t>DIVIDEND SLEEVE · 2026-10-16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First Horizon Corporation is a Memphis, Tennessee-based regional bank holding company with approximately $83B in assets, operating under the First Horizon Bank brand across the Southeast. Q2 2026 revenue reached $887M (+6.4% YoY) with net income of $260M (+12% YoY) and diluted EPS of $0.54 (+20% YoY), supported by a net interest margin of 3.49% and period-end loans up $953M sequentially [1]. The company has been led by Chairman, President, and CEO D. Bryan Jordan since 2008, and in 2023 saw its proposed $13.4B acquisition by TD Bank collapse due to TD's AML remediation issues, resulting in a $200M breakup fee and a return to an independent growth strategy [2]. Management guided for 2026 total revenue growth of 3-7% YoY [1].</w:t>
      </w:r>
    </w:p>
    <w:p>
      <w:r>
        <w:rPr>
          <w:rFonts w:ascii="Calibri" w:hAnsi="Calibri"/>
          <w:b/>
          <w:color w:val="6E8450"/>
          <w:sz w:val="18"/>
        </w:rPr>
        <w:t>7,400 Employees · https://www.firsthorizon.com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First Horizon executed a transformative merger with IBERIABANK in 2020, doubling its asset base to $83B+ and expanding from a Tennessee-centric franchise to a pan-Southeast powerhouse spanning 12 states — one of the most significant regional bank combinations of the decade [2]. When the $13.4B TD Bank acquisition collapsed in 2023, FHN pivoted rapidly back to an independent growth strategy, using the $200M breakup fee to strengthen its franchise rather than retreat. AI Deployment (0/2): The FY2025 annual report describes management as 'energized by the possibilities of artificial intelligence' and references an AI-trained workforce embedding AI into end-to-end processes, but no AI products are shipping to customers and no quantified cost savings have been disclosed — firmly in the exploration stage [3]. Market Share (1/2): FHN is a meaningful $83B-asset regional bank with 'strong loan growth' (period-end loans up $953M sequentially in Q2 2026), holding significant market positions across the Southeast, though it is not a category-defining national leader [1]. Product Pipeline (1/2): Hunter Hill was appointed Chief Digital Transformation Officer to lead a new consumer and small business digital banking platform alongside a wealth management platform build-out, providing directional visibility though specific launch dates and revenue projections are absent [3]. R&amp;D Intensity (0/1): As a traditional regional bank, First Horizon does not report distinct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First Horizon's 'Here for Good' positioning is backed by 160+ years of operating history and a Foundation established in 1993, connecting the company's identity to long-term community persistence rather than generic banking language — specific, thoughtful, and differentiated from peers who frame their purpose around financial products rather than community permanence [4]. Community Impact (2/2): The First Horizon Foundation has donated over $100M across its footprint since 1993, the company reported $183M in community development investments and $18M distributed to 1,600+ non-profits, and a structured volunteer leadership program provides associates $500-$1,000 grants for nonprofits with 50-cents-on-the-dollar matching gifts up to $2,000 — significant, distinctive, and quantified investment [4]. Employee Retention (0/2): No specific turnover or tenure data is publicly available for the broader 7,400-employee workforce, despite the company listing 'Associates' as one of its five ESG pillars.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updated metrics. D/E of 17.1% ($1.52B total debt / $8.85B stockholders equity) scores 1.0, reflecting a conservatively leveraged balance sheet [5][6]. Forward P/E of 9.82x scores 1.0 against the 20x target, and profit margin of 30.2% scores 1.0 against the 20% target [5]. ROE of 11.45% scores 0.76 against the 15% target — solid but below top-tier bank returns. Revenue growth YoY of 9.0% scores 0.97 against the 10% target, while the 5yr revenue CAGR of 1.8% scores 0.45 (reflecting post-IBERIABANK integration plateauing) [1][5]. On dividend metrics: payout ratio of 30.8% scores 1.0 (2x weight for consecutive years paid = 1.0 against 14 years paid). Consecutive years growth of 1 year scores 0.10, and 5yr dividend growth CAGR of ~2.5% scores 0.42 (2x weight) — the dividend was flat at $0.60/share from 2021-2025 before the 13.3% raise to $0.68 in 2026 [5]. Daily dollar volume of $127.4M ($22.86 x 5.57M shares) provides ample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First Horizon's 160-year community banking legacy, quantified $100M+ Foundation giving, and Bryan Jordan's 18-year CEO tenure through the 2008 financial crisis and the 2023 TD Bank merger collapse all point to genuine organizational continuity and a lived community-oriented purpose. The forced strategic reset after TD's acquisition collapsed — using the $200M breakup fee to reinvest in independent growth rather than purely distributing to shareholders — shows resilience and long-term orientation. However, the underlying cause is closer to solid stewardship than a Sinek-caliber transformative Just Cause, and the willingness to sell the franchise to TD suggests mission is secondary to shareholder value in extremis.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'Here for Good' positioning, backed by 160+ years of operating history and over $100M in cumulative Foundation giving since 1993, is a genuine and partially lived purpose that has shaped real capital allocation decisions [4]. The cause connects the bank to a broader community permanence that goes beyond quarterly earnings. However, the 2023 willingness to sell the entire franchise to TD Bank for $13.4B complicates the picture of unwavering mission-driven independence, and the cause lacks the idealistic, category-defining ambition of a top-tier Just Cause [2].</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Bryan Jordan has led First Horizon continuously since 2008 — 18 years spanning the global financial crisis, the IBERIABANK merger, and the TD Bank deal collapse — an exceptional degree of executive continuity that reflects genuine organizational stability, board confidence, and institutional trust [2]. This leadership tenure through multiple existential stress tests is among the longest active CEO tenures in U.S. regional banking and provides strong evidence of a stable organizational foundation.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First Horizon publicly framing competing regional or national banks as worthy rivals whose strengths inform its own strategy. Available commentary centers on internal execution metrics — loan growth, NIM expansion, digital platform development — rather than competitive learning or acknowledgment of rivals'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When TD Bank's $13.4B acquisition collapsed in 2023 due to TD's own AML regulatory issues, First Horizon rapidly pivoted back to an independent growth strategy, rebuilding investor confidence and capital plans from a position that could have been devastating for morale and strategy [2]. The earlier IBERIABANK merger in 2020 fundamentally expanded the franchise from Tennessee-focused to pan-Southeast. However, both pivots were circumstantially driven rather than self-directed transformative bets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Rather than using the $200M TD Bank breakup fee solely for near-term shareholder returns, First Horizon reinvested in capital strength and its independent growth strategy, choosing long-term franchise building over opportunistic short-term payouts [2]. The IBERIABANK merger was a bold $4B+ combination that required significant integration courage. Management's 2026 guidance for 3-7% revenue growth with continued investment in digital transformation (new CDTO, consumer/SMB digital platform) demonstrates willingness to invest for the long term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Horizon at $22.86 with a $10.8B market cap is a well-capitalized Southeast regional bank delivering accelerating profitability at an undemanding valuation — Q2 2026 revenue of $887M (+6.4% YoY), net income of $260M (+12% YoY), diluted EPS of $0.54 (+20% YoY), and a 3.49% net interest margin supported by period-end loans up $953M sequentially [1]. The stock trades at 9.82x forward earnings with a 2.99% dividend yield, a conservative 30.8% payout ratio, and management guided for 3-7% revenue growth in 2026 — providing a margin of safety well below the sector average valuation [5]. CEO Bryan Jordan's 18-year tenure through the 2008 crisis and TD Bank merger collapse provides exceptional leadership continuity, and the company's $100M+ Foundation giving and 160-year operating history underpin a genuine community banking franchise with deep relationship moats [2][4].</w:t>
      </w:r>
    </w:p>
    <w:p>
      <w:pPr>
        <w:spacing w:after="120"/>
      </w:pPr>
      <w:r>
        <w:rPr>
          <w:rFonts w:ascii="Calibri" w:hAnsi="Calibri"/>
          <w:b w:val="0"/>
          <w:color w:val="3A4A28"/>
          <w:sz w:val="20"/>
        </w:rPr>
        <w:t>The bear case centers on modest structural growth and dividend growth history. The 5yr revenue CAGR of just 1.8% and ROE of 11.45% (below the 15% target) suggest FHN is a stable franchise rather than a high-growth compounder [5]. The dividend was flat at $0.60/share for five consecutive years (2021-2025) before the 2026 increase to $0.68, producing a weak 2.5% 5yr dividend growth CAGR — well below the 6% (2x inflation) target — raising questions about whether management will sustain the newly resumed payout growth trajectory [5]. The PEG ratio of 1.76x is less compelling than the August 2026 reading of 0.97x, suggesting the market may have already priced in some of the earnings acceleration. NIM compression of 3bps in Q2 2026 and management's guidance for mid-to-high 340s NIM suggest limited further expansion in a declining rate environment [1]. Past regulatory findings including a $325K SEC Regulation Best Interest fine and Federal Reserve enforcement actions against former employees highlight ongoing compliance risk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net interest income growth alongside strong loan momentum ($953M sequential increase in Q2 2026) could sustain the 20% EPS growth trajectory and support further multiple expansion from the current 9.82x forward P/E [1]</w:t>
      </w:r>
    </w:p>
    <w:p>
      <w:pPr>
        <w:spacing w:before="40" w:after="40"/>
        <w:ind w:left="283"/>
      </w:pPr>
      <w:r>
        <w:rPr>
          <w:rFonts w:ascii="Calibri" w:hAnsi="Calibri"/>
          <w:b/>
          <w:color w:val="4A6B25"/>
          <w:sz w:val="20"/>
        </w:rPr>
        <w:t xml:space="preserve">2. </w:t>
      </w:r>
      <w:r>
        <w:rPr>
          <w:rFonts w:ascii="Calibri" w:hAnsi="Calibri"/>
          <w:b w:val="0"/>
          <w:color w:val="3A4A28"/>
          <w:sz w:val="20"/>
        </w:rPr>
        <w:t>Accelerating dividend growth following the 2026 resumption (+13.3% to $0.68/share) could attract income-focused capital and close the 5yr dividend growth CAGR gap toward the 6% target, especially with the conservative 30.8% payout ratio providing ample room for increases [5]</w:t>
      </w:r>
    </w:p>
    <w:p>
      <w:pPr>
        <w:spacing w:before="40" w:after="40"/>
        <w:ind w:left="283"/>
      </w:pPr>
      <w:r>
        <w:rPr>
          <w:rFonts w:ascii="Calibri" w:hAnsi="Calibri"/>
          <w:b/>
          <w:color w:val="4A6B25"/>
          <w:sz w:val="20"/>
        </w:rPr>
        <w:t xml:space="preserve">3. </w:t>
      </w:r>
      <w:r>
        <w:rPr>
          <w:rFonts w:ascii="Calibri" w:hAnsi="Calibri"/>
          <w:b w:val="0"/>
          <w:color w:val="3A4A28"/>
          <w:sz w:val="20"/>
        </w:rPr>
        <w:t>Digital transformation under new CDTO Hunter Hill — including the consumer/SMB digital banking platform and wealth management platform — could improve operational efficiency and fee income diversification over the next 12-24 months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Return on equity of 11.45% trails the 15% target and the 5yr revenue CAGR of only 1.8% reflects structural low-growth dynamics in regional banking, limiting the case for premium valuation versus higher-growth financial services peers [5]</w:t>
      </w:r>
    </w:p>
    <w:p>
      <w:pPr>
        <w:spacing w:before="40" w:after="40"/>
        <w:ind w:left="283"/>
      </w:pPr>
      <w:r>
        <w:rPr>
          <w:rFonts w:ascii="Calibri" w:hAnsi="Calibri"/>
          <w:b/>
          <w:color w:val="4A6B25"/>
          <w:sz w:val="20"/>
        </w:rPr>
        <w:t xml:space="preserve">2. </w:t>
      </w:r>
      <w:r>
        <w:rPr>
          <w:rFonts w:ascii="Calibri" w:hAnsi="Calibri"/>
          <w:b w:val="0"/>
          <w:color w:val="3A4A28"/>
          <w:sz w:val="20"/>
        </w:rPr>
        <w:t>Five consecutive years of flat dividends (2021-2025) produced a weak 2.5% 5yr growth CAGR — well below the 6% inflation-adjusted target — and only one year of renewed growth provides insufficient evidence that the new payout trajectory is sustainable [5]</w:t>
      </w:r>
    </w:p>
    <w:p>
      <w:pPr>
        <w:spacing w:before="40" w:after="40"/>
        <w:ind w:left="283"/>
      </w:pPr>
      <w:r>
        <w:rPr>
          <w:rFonts w:ascii="Calibri" w:hAnsi="Calibri"/>
          <w:b/>
          <w:color w:val="4A6B25"/>
          <w:sz w:val="20"/>
        </w:rPr>
        <w:t xml:space="preserve">3. </w:t>
      </w:r>
      <w:r>
        <w:rPr>
          <w:rFonts w:ascii="Calibri" w:hAnsi="Calibri"/>
          <w:b w:val="0"/>
          <w:color w:val="3A4A28"/>
          <w:sz w:val="20"/>
        </w:rPr>
        <w:t>NIM compression of 3bps in Q2 2026 and management's guidance for mid-to-high 340s through 2026 suggest the favorable rate environment may be peaking, which would pressure the primary revenue growth driver if loan demand also moderates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First Horizon's core deposit-taking and lending franchise is protected by banking licensure, FDIC insurance, regulatory capital requirements, and relationship-driven commercial banking that AI cannot disintermediate outright [1]. The company's $83B asset base, 160+ year operating history, and deeply embedded community banking relationships create switching costs that digital-only competitors struggle to replicate. Industry analysis frames AI's near-term banking impact as efficiency-focused (faster underwriting, document processing) rather than substitution of the deposit franchise. Management's FY2025 annual report references building an 'AI-trained workforce' and embedding AI into processes while maintaining 'security and quality,' suggesting measured adoption rather than disruption vulnerability [3]. AI Opportunity (0/1): No quantifiable AI-related revenue contribution has been disclosed; internal AI use for operational efficiency has not been reported with specific dollar figures.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Horizon Q2 2026 Earnings — Revenue $887M (+6.4% YoY), Net Income $260M (+12% YoY), EPS $0.54 (+20% YoY), NIM 3.49%, Loans +$953M Sequential, 2026 Guidance 3-7% Revenue Growth — Barchart, Quartr, Nasdaq, July 2026</w:t>
      </w:r>
    </w:p>
    <w:p>
      <w:pPr>
        <w:spacing w:before="20" w:after="20"/>
        <w:ind w:left="170"/>
      </w:pPr>
      <w:r>
        <w:rPr>
          <w:rFonts w:ascii="Calibri" w:hAnsi="Calibri"/>
          <w:b/>
          <w:color w:val="4A6B25"/>
          <w:sz w:val="15"/>
        </w:rPr>
        <w:t xml:space="preserve">2. </w:t>
      </w:r>
      <w:r>
        <w:rPr>
          <w:rFonts w:ascii="Calibri" w:hAnsi="Calibri"/>
          <w:b w:val="0"/>
          <w:color w:val="3A4A28"/>
          <w:sz w:val="17"/>
        </w:rPr>
        <w:t>First Horizon Corporate History — IBERIABANK Merger 2020, TD Bank $13.4B Acquisition Collapse 2023, $200M Breakup Fee, CEO Bryan Jordan Since 2008 — Company Filings, FY2025 Annual Report</w:t>
      </w:r>
    </w:p>
    <w:p>
      <w:pPr>
        <w:spacing w:before="20" w:after="20"/>
        <w:ind w:left="170"/>
      </w:pPr>
      <w:r>
        <w:rPr>
          <w:rFonts w:ascii="Calibri" w:hAnsi="Calibri"/>
          <w:b/>
          <w:color w:val="4A6B25"/>
          <w:sz w:val="15"/>
        </w:rPr>
        <w:t xml:space="preserve">3. </w:t>
      </w:r>
      <w:r>
        <w:rPr>
          <w:rFonts w:ascii="Calibri" w:hAnsi="Calibri"/>
          <w:b w:val="0"/>
          <w:color w:val="3A4A28"/>
          <w:sz w:val="17"/>
        </w:rPr>
        <w:t>First Horizon Digital Transformation — CDTO Hunter Hill Appointment, AI Workforce Training, New Consumer/SMB Digital Platform, Wealth Management Platform — Banking Exchange, FintechFutures, FY2025 Annual Report</w:t>
      </w:r>
    </w:p>
    <w:p>
      <w:pPr>
        <w:spacing w:before="20" w:after="20"/>
        <w:ind w:left="170"/>
      </w:pPr>
      <w:r>
        <w:rPr>
          <w:rFonts w:ascii="Calibri" w:hAnsi="Calibri"/>
          <w:b/>
          <w:color w:val="4A6B25"/>
          <w:sz w:val="15"/>
        </w:rPr>
        <w:t xml:space="preserve">4. </w:t>
      </w:r>
      <w:r>
        <w:rPr>
          <w:rFonts w:ascii="Calibri" w:hAnsi="Calibri"/>
          <w:b w:val="0"/>
          <w:color w:val="3A4A28"/>
          <w:sz w:val="17"/>
        </w:rPr>
        <w:t>First Horizon Foundation and Community Investment — $100M+ Cumulative Giving Since 1993, $183M Community Development, $18M to 1,600+ Non-Profits, 'Here for Good' Programs — firsthorizon.com CSR Report</w:t>
      </w:r>
    </w:p>
    <w:p>
      <w:pPr>
        <w:spacing w:before="20" w:after="20"/>
        <w:ind w:left="170"/>
      </w:pPr>
      <w:r>
        <w:rPr>
          <w:rFonts w:ascii="Calibri" w:hAnsi="Calibri"/>
          <w:b/>
          <w:color w:val="4A6B25"/>
          <w:sz w:val="15"/>
        </w:rPr>
        <w:t xml:space="preserve">5. </w:t>
      </w:r>
      <w:r>
        <w:rPr>
          <w:rFonts w:ascii="Calibri" w:hAnsi="Calibri"/>
          <w:b w:val="0"/>
          <w:color w:val="3A4A28"/>
          <w:sz w:val="17"/>
        </w:rPr>
        <w:t>Yahoo Finance — FHN Key Statistics: Price $22.86, Market Cap $10.8B, Forward P/E 9.82, PEG 1.76, ROE 11.45%, Profit Margin 30.2%, D/E 17.1%, Dividend Yield 2.99%, Payout 30.8%, Avg Volume 5.57M,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SEC and Federal Reserve Regulatory Actions — First Horizon Advisors $325K Reg BI Fine (2024), Federal Reserve Employee Enforcement Actions — sec.gov, federalreserve.gov</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