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FIBK</w:t>
      </w:r>
      <w:r>
        <w:rPr>
          <w:rFonts w:ascii="Calibri" w:hAnsi="Calibri"/>
          <w:b/>
          <w:color w:val="1A2010"/>
          <w:sz w:val="40"/>
        </w:rPr>
        <w:t xml:space="preserve">  First Interstate BancSystem, Inc.</w:t>
      </w:r>
    </w:p>
    <w:p>
      <w:pPr>
        <w:spacing w:after="120"/>
      </w:pPr>
      <w:r>
        <w:rPr>
          <w:rFonts w:ascii="Calibri" w:hAnsi="Calibri"/>
          <w:b/>
          <w:color w:val="6E8450"/>
          <w:sz w:val="18"/>
        </w:rPr>
        <w:t>DIVIDEND SLEEVE · 2026-09-26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First Interstate BancSystem, Inc. is the bank holding company for First Interstate Bank, a community bank founded in 1968 offering deposit, lending, trust, and wealth management services across Montana, Idaho, Oregon, South Dakota, Washington, and Wyoming. James A. Reuter became President and CEO in November 2024, and the bank reported Q2 2026 net income of $83.9 million ($0.87/share) on its ninth consecutive quarter of net interest margin expansion (3.48%), beating Wall Street estimates. The company has paid an uninterrupted quarterly dividend since 2010.</w:t>
      </w:r>
    </w:p>
    <w:p>
      <w:r>
        <w:rPr>
          <w:rFonts w:ascii="Calibri" w:hAnsi="Calibri"/>
          <w:b/>
          <w:color w:val="6E8450"/>
          <w:sz w:val="18"/>
        </w:rPr>
        <w:t>3,376 Employees · https://www.fibk.com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First Interstate remains a traditional community bank with no meaningful new products, market pivots, or business-model transformations identified in the last five years; its recent net interest margin expansion reflects rate-cycle positioning rather than innovation. AI Deployment (0/2): No evidence of AI-powered products shipping to customers or quantified AI-driven savings was found, despite the September 2026 hire of a new COO with a digital-banking background [1]. Market Share (1/2): First Interstate is a meaningful regional community bank across six Mountain West and Pacific Northwest states but holds no dominant or fastest-growing share position. Product Pipeline (0/2): No specific next-generation fintech or digital-banking product roadmap with dates was disclosed. R&amp;D Intensity (0/1): No R&amp;D spend data was found, consistent with the typically low R&amp;D intensity of community banks.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First Interstate's public positioning around 'helping people and their money work better together' is generic, boilerplate community-banking language interchangeable with peer regional banks. Community Impact (0/2): No specific dollar-denominated charitable program or community investment was identified despite the bank's long Montana heritage. Employee Retention (0/2): No independent tenure or turnover data was found. Insider Buying (0/2): No net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dividend-sleeve weights (Consecutive Years Paid and 5yr Dividend Growth CAGR at 2x weight). Debt-to-equity of 8.6% (Total Debt $296M / Stockholders' Equity $3.45B, computed from the balance sheet since yfinance's D/E field was unavailable) and Forward P/E of 12.96 both score at the 1.0 cap [2]. Profit margin of 30.64% also scores at the cap. ROE of 9.62% (score 0.64) trails the 15% target. Revenue growth of 7.4% YoY (score 0.91) is solid, but the 5yr revenue CAGR of approximately -1.4% (2022-2025: $1.106B to $1.059B, score 0.24) reflects a multi-year revenue plateau before the recent margin-driven recovery. On dividend metrics: 16 consecutive years of uninterrupted dividend payments since 2010 (score capped at 1.0, 2x weight) is strong, but the dividend has been held flat at $0.47/quarter since late 2022 — zero consecutive years of growth (score 0) — and the trailing 4-year dividend CAGR is a modest ~3.5% (score 0.58, 2x weight). Payout ratio of 58.2% (score 0.70) is elevated versus the 40% target. Liquidity comfortably clears the floor: ~1.16M avg daily volume x $36.91 = ~$42.8M.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First Interstate is a stable, well-capitalized community bank with a genuinely long regional heritage (founded 1968) and an uninterrupted 16-year dividend record, but no evidence was found of a distinctive Just Cause, costly principled leadership decisions, or a transformative strategic pivot. The bank reads as a competently run but largely finite-game regional banking franchise optimizing for net interest margin and shareholder returns.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First Interstate's stated purpose around 'helping people and their money work better together' is standard community-bank language, and no evidence was found that it shapes major strategic decisions beyond conventional banking objectives.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bank's long Montana heritage since 1968 and an orderly CEO transition to James A. Reuter (November 2024) followed by a new Chief Operations Officer hire (September 2026) suggest institutional stability, but no independent employee tenure or turnover data was found to support a higher score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First Interstate framing competitors as sources of self-improvement or of any notable competitive rhetoric in available disclosures.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a transformative strategic pivot was found; the bank's core community-banking model has remained substantially unchanged, with only incremental technology hires (a new digitally focused COO) rather than a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earnings for long-term capability; recent management focus has been on net interest margin expansion and operational execution rather than a disclosed costly strategic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Interstate offers a well-capitalized, income-oriented regional bank story: Q2 2026 net income of $83.9 million ($0.87/share) beat estimates, net interest margin expanded for a ninth consecutive quarter to 3.48%, and the bank has paid an uninterrupted dividend for 16 straight years, currently yielding 5.09% [1][2]. Low leverage (D/E of 8.6% on a bank-holding-company basis) and a strong profit margin of 30.64% reflect a conservatively run balance sheet, and continued Fed rate cuts embedded in 2026 guidance should support further margin expansion.</w:t>
      </w:r>
    </w:p>
    <w:p>
      <w:pPr>
        <w:spacing w:after="120"/>
      </w:pPr>
      <w:r>
        <w:rPr>
          <w:rFonts w:ascii="Calibri" w:hAnsi="Calibri"/>
          <w:b w:val="0"/>
          <w:color w:val="3A4A28"/>
          <w:sz w:val="20"/>
        </w:rPr>
        <w:t>The bear case is that First Interstate scores poorly across every IOWN dimension except Infrastructure: Innovation (1/10) and Inspiration (1/10) reflect a lack of disclosed differentiation, community investment, or product pipeline beyond standard community banking, and Infinite Game (2/10) found no evidence of a distinctive Just Cause or costly principled leadership decisions. The dividend itself has been frozen at $0.47/quarter since late 2022 (zero consecutive years of growth), and the 5-year revenue CAGR is roughly -1.4%, indicating the current earnings recovery is a rate-cycle tailwind rather than durable secular growth. With ROE of only 9.62% versus a 15% target and a payout ratio of 58.2%, income investors may still find the current yield attractive, but the overall IOWN score of 35 reflects an unremarkable, undifferentiated regional bank rather than a business built to compound value over decades.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Ninth consecutive quarter of net interest margin expansion (to 3.48% in Q2 2026) with 2026 guidance assuming further Fed rate cuts could continue to lift net income beyond consensus estimates [1]</w:t>
      </w:r>
    </w:p>
    <w:p>
      <w:pPr>
        <w:spacing w:before="40" w:after="40"/>
        <w:ind w:left="283"/>
      </w:pPr>
      <w:r>
        <w:rPr>
          <w:rFonts w:ascii="Calibri" w:hAnsi="Calibri"/>
          <w:b/>
          <w:color w:val="4A6B25"/>
          <w:sz w:val="20"/>
        </w:rPr>
        <w:t xml:space="preserve">2. </w:t>
      </w:r>
      <w:r>
        <w:rPr>
          <w:rFonts w:ascii="Calibri" w:hAnsi="Calibri"/>
          <w:b w:val="0"/>
          <w:color w:val="3A4A28"/>
          <w:sz w:val="20"/>
        </w:rPr>
        <w:t>New Chief Operations Officer Jeff Lee (effective September 2026), with 20+ years of digital banking and technology leadership experience, could modernize operations and support a resumption of dividend growth [1]</w:t>
      </w:r>
    </w:p>
    <w:p>
      <w:pPr>
        <w:spacing w:before="40" w:after="40"/>
        <w:ind w:left="283"/>
      </w:pPr>
      <w:r>
        <w:rPr>
          <w:rFonts w:ascii="Calibri" w:hAnsi="Calibri"/>
          <w:b/>
          <w:color w:val="4A6B25"/>
          <w:sz w:val="20"/>
        </w:rPr>
        <w:t xml:space="preserve">3. </w:t>
      </w:r>
      <w:r>
        <w:rPr>
          <w:rFonts w:ascii="Calibri" w:hAnsi="Calibri"/>
          <w:b w:val="0"/>
          <w:color w:val="3A4A28"/>
          <w:sz w:val="20"/>
        </w:rPr>
        <w:t>16-year uninterrupted dividend record at a 5.09% current yield provides an attractive income floor if a dividend increase resumes once the payout ratio normalizes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dividend has been frozen at $0.47/quarter since late 2022, and zero consecutive years of dividend growth signals management caution about the durability of current earnings levels [2]</w:t>
      </w:r>
    </w:p>
    <w:p>
      <w:pPr>
        <w:spacing w:before="40" w:after="40"/>
        <w:ind w:left="283"/>
      </w:pPr>
      <w:r>
        <w:rPr>
          <w:rFonts w:ascii="Calibri" w:hAnsi="Calibri"/>
          <w:b/>
          <w:color w:val="4A6B25"/>
          <w:sz w:val="20"/>
        </w:rPr>
        <w:t xml:space="preserve">2. </w:t>
      </w:r>
      <w:r>
        <w:rPr>
          <w:rFonts w:ascii="Calibri" w:hAnsi="Calibri"/>
          <w:b w:val="0"/>
          <w:color w:val="3A4A28"/>
          <w:sz w:val="20"/>
        </w:rPr>
        <w:t>5-year revenue CAGR of approximately -1.4% indicates the current earnings improvement is driven by net interest margin expansion in a favorable rate environment rather than durable business growth [1][2]</w:t>
      </w:r>
    </w:p>
    <w:p>
      <w:pPr>
        <w:spacing w:before="40" w:after="40"/>
        <w:ind w:left="283"/>
      </w:pPr>
      <w:r>
        <w:rPr>
          <w:rFonts w:ascii="Calibri" w:hAnsi="Calibri"/>
          <w:b/>
          <w:color w:val="4A6B25"/>
          <w:sz w:val="20"/>
        </w:rPr>
        <w:t xml:space="preserve">3. </w:t>
      </w:r>
      <w:r>
        <w:rPr>
          <w:rFonts w:ascii="Calibri" w:hAnsi="Calibri"/>
          <w:b w:val="0"/>
          <w:color w:val="3A4A28"/>
          <w:sz w:val="20"/>
        </w:rPr>
        <w:t>No evidence of differentiated innovation, community investment, or a distinctive strategic purpose was found, leaving the bank exposed to being a commoditized, undifferentiated regional banking franchise if rate tailwinds fade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Regional banking benefits from regulatory licensing, FDIC-insured deposit relationships, and a physical branch network across rural Mountain West markets that AI-only fintech and neobank competitors cannot easily replicate; however, commodity transaction banking, basic lending decisions, and customer service functions are increasingly exposed to AI-driven automation and robo-advisory disintermediation over time [1]. AI Opportunity (0/1): No specific AI-related revenue or cost-savings figure was disclosed, despite the September 2026 appointment of a Chief Operations Officer with a digital-banking and technology background.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Interstate BancSystem Q2 2026 Earnings — Net Income $83.9M, EPS $0.87, NIM 3.48% (9th Consecutive Quarterly Expansion) — SEC Form 8-K, Investing.com, Morningstar, businesswire.com, July-August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yfinance — FIBK Key Statistics and Dividend History: D/E (computed) 8.6%, ROE 9.62%, Forward P/E 12.96, Profit Margin 30.64%, Dividend Yield 5.09%, 16 Consecutive Years Paid Since 2010,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