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FIGR</w:t>
      </w:r>
      <w:r>
        <w:rPr>
          <w:rFonts w:ascii="Calibri" w:hAnsi="Calibri"/>
          <w:b/>
          <w:color w:val="1A2010"/>
          <w:sz w:val="40"/>
        </w:rPr>
        <w:t xml:space="preserve">  Figure Technology Solutions, Inc.</w:t>
      </w:r>
    </w:p>
    <w:p>
      <w:pPr>
        <w:spacing w:after="120"/>
      </w:pPr>
      <w:r>
        <w:rPr>
          <w:rFonts w:ascii="Calibri" w:hAnsi="Calibri"/>
          <w:b/>
          <w:color w:val="6E8450"/>
          <w:sz w:val="18"/>
        </w:rPr>
        <w:t>GROWTH SLEEVE · 2026-08-26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Figure Technology Solutions is a blockchain-based fintech founded in 2018 by former SoFi CEO Mike Cagney, offering technology-enabled home equity lending (HELOC, cash-out refinance, DSCR loans) paired with a capital-markets distribution marketplace, plus an emerging digital-asset exchange offering interest-bearing stablecoin deposits and blockchain-based direct stock lending. The company IPO'd in September 2025 raising $663M and has since posted three consecutive quarters of triple-digit loan-volume growth. Q2 2026 adjusted net revenue climbed 95% YoY to $218M with adjusted EBITDA up 126% to $119M (55% margin) as consumer loan marketplace volume reached $4.3B, up 132% YoY [1].</w:t>
      </w:r>
    </w:p>
    <w:p>
      <w:r>
        <w:rPr>
          <w:rFonts w:ascii="Calibri" w:hAnsi="Calibri"/>
          <w:b/>
          <w:color w:val="6E8450"/>
          <w:sz w:val="18"/>
        </w:rPr>
        <w:t>602 Employees · https://www.figure.com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Since its 2025 IPO, Figure has expanded from a single-product blockchain HELOC originator into a broader marketplace spanning consumer lending, an institutional capital-markets distribution channel (Figure Connect), an interest-bearing stablecoin deposit exchange, and — as of January 2026 — a blockchain-based direct stock-lending platform that lets investors lend shares to one another without traditional intermediaries [1][2]. Loan marketplace volume reached $4.3B in Q2 2026, up 132% YoY, marking a third straight quarter of triple-digit growth. AI Deployment (1/2): Figure's SEC filings disclose reliance on AI for credit underwriting decisions, and management markets the platform as combining 'blockchain, AI and advanced analytics' to unlock consumer credit access, but no specific dollar figure for AI-driven cost savings or efficiency gains was disclosed [2]. Market Share (1/2): Figure is a fast-scaling leader among blockchain-based HELOC originators with $4.3B in quarterly volume, but no absolute share of the multi-trillion-dollar consumer credit market was quantified. Product Pipeline (2/2): Specific, dated launches include the January 2026 blockchain stock-lending platform and the stablecoin deposit exchange, giving concrete near-term pipeline visibility. R&amp;D Intensity (0/1): No R&amp;D-to-revenue disclosure relative to fintech peers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Figure's stated mission — 'to transform financial services, bringing speed, efficiency and savings to consumers' — is clear and tied to a specific blockchain-based approach, but is fairly generic fintech-mission language shared by many peers rather than a deeply distinctive articulation [3]. Community Impact (0/2): No charitable programs, foundation, or community investment data was found. Employee Retention (0/2): No turnover or average-tenure data is publicly available for the 602-person organization. Insider Buying (0/2): No specific 2026 insider buying transactions were identified; executive chairman Mike Cagney and other insiders hold approximately 6.2% of shares, but this reflects founder equity rather than documented recent open-market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Figure clears the liquidity floor comfortably (~$163M daily dollar volume). Every growth-stock metric scores at or near the 1.0 cap: ROE of 26.1% and profit margin of 38.3% both exceed targets, revenue growth of 55.8% YoY (annual GAAP) and a ~61% 2-year revenue CAGR both far exceed the 10% targets, and Forward P/E of 27.7x scores 0.81 against the 20x target. Debt-to-equity of 104.3% scores 0.85 against the 70% target. Forward PEG is unavailable and excluded from the weighted calculation. Note that despite strong accounting profitability, Figure's free cash flow remains negative (-$254M) and operating cash flow is -$86M as the company invests heavily in loan-marketplace scaling and blockchain infrastructure — a cash-burn dynamic the mechanical score does not capture.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Figure is executing rapidly against a genuinely stated cause — rebuilding the plumbing of consumer credit markets on blockchain rails — and has continued to expand its product surface (stock lending, stablecoin deposits) well beyond its original HELOC business. But the company is young, unproven through a full credit cycle, and led by a founder (Mike Cagney) who has publicly acknowledged under-investing in culture during his prior tenure at SoFi, which tempers confidence in the durability of Figure's internal trust and governance at this early stage.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Cagney's stated ambition — using blockchain to 'cut intermediaries across securitization, lending and stock borrowing' and rebuild credit-market infrastructure — is resilient and idealistic in framing [5]. But Figure is only eight years old, IPO'd less than a year ago, and has not been tested through a credit downturn or leadership transition, and Cagney's own history of prioritizing growth over culture at SoFi raises questions about whether the cause will hold under stress.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Cagney has publicly reflected that at SoFi 'it was a performance-oriented culture' that 'didn't put a lot of thought into cultural values,' and has said he has worked to apply those lessons at Figure [5]. No Figure-specific negative culture data (layoffs, turnover) was found, so this is scored as an average, unproven environment rather than a demonstrated high-trust one.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management commentary was found framing traditional lenders or fintech competitors as 'worthy rivals' whose strengths sharpen Figure's own strategy; available messaging focuses on disrupting/replacing incumbent intermediaries rather than learning from them.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Figure has meaningfully broadened its business model beyond its original HELOC-origination product into a stablecoin deposit exchange and, as of January 2026, direct blockchain-based stock lending — real expansion of the platform, though it remains within the same blockchain-financial-infrastructure thesis rather than a full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Figure continues to invest heavily in blockchain platform build-out and new product lines (stock lending, stablecoin deposits) despite negative free cash flow of -$254M, showing willingness to prioritize long-term infrastructure over near-term cash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Figure is one of the fastest-growing fintechs in the market: Q2 2026 adjusted net revenue rose 95% YoY to $218M, adjusted EBITDA rose 126% to $119M at a 55% margin, and net income more than doubled to $87M, while consumer loan marketplace volume hit $4.3B (+132% YoY) for a third consecutive quarter of triple-digit growth [1]. ROE of 26.1% and profit margin of 38.3% reflect genuinely strong unit economics for a blockchain-native lending platform, and the company continues to broaden its addressable market — stablecoin deposits, institutional capital-markets distribution via Figure Connect, and a January 2026 direct stock-lending platform — all aimed at a stated $2T consumer-credit opportunity [2]. Wall Street has responded in kind, raising full-year 2026 revenue estimates from $725M to $820M over the past 90 days.</w:t>
      </w:r>
    </w:p>
    <w:p>
      <w:pPr>
        <w:spacing w:after="120"/>
      </w:pPr>
      <w:r>
        <w:rPr>
          <w:rFonts w:ascii="Calibri" w:hAnsi="Calibri"/>
          <w:b w:val="0"/>
          <w:color w:val="3A4A28"/>
          <w:sz w:val="20"/>
        </w:rPr>
        <w:t>The bear case centers on youth, cash burn, and key-person risk. Figure IPO'd less than a year ago and has not been tested through a full credit cycle; free cash flow remains deeply negative (-$254M) and operating cash flow is -$86M even as GAAP profitability looks strong, meaning the business is still funding its blockchain infrastructure and marketplace scaling from its IPO proceeds rather than internal cash generation. Debt-to-equity of 104% is elevated for a company this early in its lifecycle. Founder and executive chairman Mike Cagney's prior tenure at SoFi ended amid reports of a toxic internal culture, and while he has spoken candidly about applying those lessons at Figure, governance and culture risk at a founder-controlled fintech scaling this fast should not be dismissed. Regulatory scrutiny of AI-driven underwriting for fair-lending compliance is also an emerging risk as regulators increasingly focus on algorithm-driven credit decisions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triple-digit loan marketplace volume growth ($4.3B in Q2 2026, +132% YoY) as Figure scales beyond HELOCs into DSCR loans, cash-out refinance, and institutional distribution via Figure Connect [1]</w:t>
      </w:r>
    </w:p>
    <w:p>
      <w:pPr>
        <w:spacing w:before="40" w:after="40"/>
        <w:ind w:left="283"/>
      </w:pPr>
      <w:r>
        <w:rPr>
          <w:rFonts w:ascii="Calibri" w:hAnsi="Calibri"/>
          <w:b/>
          <w:color w:val="4A6B25"/>
          <w:sz w:val="20"/>
        </w:rPr>
        <w:t xml:space="preserve">2. </w:t>
      </w:r>
      <w:r>
        <w:rPr>
          <w:rFonts w:ascii="Calibri" w:hAnsi="Calibri"/>
          <w:b w:val="0"/>
          <w:color w:val="3A4A28"/>
          <w:sz w:val="20"/>
        </w:rPr>
        <w:t>Expansion of the January 2026 blockchain-based direct stock-lending platform and stablecoin interest-bearing deposit exchange into meaningful new revenue lines beyond core lending [2]</w:t>
      </w:r>
    </w:p>
    <w:p>
      <w:pPr>
        <w:spacing w:before="40" w:after="40"/>
        <w:ind w:left="283"/>
      </w:pPr>
      <w:r>
        <w:rPr>
          <w:rFonts w:ascii="Calibri" w:hAnsi="Calibri"/>
          <w:b/>
          <w:color w:val="4A6B25"/>
          <w:sz w:val="20"/>
        </w:rPr>
        <w:t xml:space="preserve">3. </w:t>
      </w:r>
      <w:r>
        <w:rPr>
          <w:rFonts w:ascii="Calibri" w:hAnsi="Calibri"/>
          <w:b w:val="0"/>
          <w:color w:val="3A4A28"/>
          <w:sz w:val="20"/>
        </w:rPr>
        <w:t>Full-year 2026 revenue guidance raised from $725M to $820M by consensus analysts over the trailing 90 days, reflecting upward estimate revisions as growth continues to beat expectations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Persistently negative free cash flow (-$254M) and operating cash flow (-$86M) despite reported GAAP profitability, raising questions about the durability of unit economics as growth normalizes</w:t>
      </w:r>
    </w:p>
    <w:p>
      <w:pPr>
        <w:spacing w:before="40" w:after="40"/>
        <w:ind w:left="283"/>
      </w:pPr>
      <w:r>
        <w:rPr>
          <w:rFonts w:ascii="Calibri" w:hAnsi="Calibri"/>
          <w:b/>
          <w:color w:val="4A6B25"/>
          <w:sz w:val="20"/>
        </w:rPr>
        <w:t xml:space="preserve">2. </w:t>
      </w:r>
      <w:r>
        <w:rPr>
          <w:rFonts w:ascii="Calibri" w:hAnsi="Calibri"/>
          <w:b w:val="0"/>
          <w:color w:val="3A4A28"/>
          <w:sz w:val="20"/>
        </w:rPr>
        <w:t>Regulatory risk around AI-driven underwriting and fair-lending compliance as state and federal regulators increase scrutiny of algorithm-based credit decisions [2]</w:t>
      </w:r>
    </w:p>
    <w:p>
      <w:pPr>
        <w:spacing w:before="40" w:after="40"/>
        <w:ind w:left="283"/>
      </w:pPr>
      <w:r>
        <w:rPr>
          <w:rFonts w:ascii="Calibri" w:hAnsi="Calibri"/>
          <w:b/>
          <w:color w:val="4A6B25"/>
          <w:sz w:val="20"/>
        </w:rPr>
        <w:t xml:space="preserve">3. </w:t>
      </w:r>
      <w:r>
        <w:rPr>
          <w:rFonts w:ascii="Calibri" w:hAnsi="Calibri"/>
          <w:b w:val="0"/>
          <w:color w:val="3A4A28"/>
          <w:sz w:val="20"/>
        </w:rPr>
        <w:t>Founder/key-person concentration risk given Mike Cagney's central role and his prior culture-related departure from SoFi, combined with Figure's short public operating history and unproven performance through a credit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Figure's core moat — a proprietary blockchain settlement and loan-origination infrastructure paired with regulatory lending licenses — is not something a general-purpose AI tool can replicate or disintermediate; if anything, Figure has embedded AI directly into its underwriting stack as a competitive weapon rather than facing it as a threat. Some competitive risk exists if larger banks or fintech rivals build comparable AI-plus-blockchain underwriting capability in-house, but no analyst commentary was found flagging existential AI disruption risk specific to Figure. AI Opportunity (1/1): AI-driven underwriting is directly embedded in the loan-origination process powering $4.3B in quarterly marketplace volume (up 132% YoY), and management explicitly markets the platform's blockchain-plus-AI approach as core to its $2T addressable consumer-credit opportunity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Figure Technology Solutions Reports Strong Second Quarter 2026 Results — Nasdaq press release, Insider Monkey, StockTitan, August 13, 2026</w:t>
      </w:r>
    </w:p>
    <w:p>
      <w:pPr>
        <w:spacing w:before="20" w:after="20"/>
        <w:ind w:left="170"/>
      </w:pPr>
      <w:r>
        <w:rPr>
          <w:rFonts w:ascii="Calibri" w:hAnsi="Calibri"/>
          <w:b/>
          <w:color w:val="4A6B25"/>
          <w:sz w:val="15"/>
        </w:rPr>
        <w:t xml:space="preserve">2. </w:t>
      </w:r>
      <w:r>
        <w:rPr>
          <w:rFonts w:ascii="Calibri" w:hAnsi="Calibri"/>
          <w:b w:val="0"/>
          <w:color w:val="3A4A28"/>
          <w:sz w:val="17"/>
        </w:rPr>
        <w:t>Figure Technology Solutions SEC Form 10-Q and blockchain stock-lending/stablecoin platform launch — SEC EDGAR, Bloomberg, PYMNTS.com, January-August 2026</w:t>
      </w:r>
    </w:p>
    <w:p>
      <w:pPr>
        <w:spacing w:before="20" w:after="20"/>
        <w:ind w:left="170"/>
      </w:pPr>
      <w:r>
        <w:rPr>
          <w:rFonts w:ascii="Calibri" w:hAnsi="Calibri"/>
          <w:b/>
          <w:color w:val="4A6B25"/>
          <w:sz w:val="15"/>
        </w:rPr>
        <w:t xml:space="preserve">3. </w:t>
      </w:r>
      <w:r>
        <w:rPr>
          <w:rFonts w:ascii="Calibri" w:hAnsi="Calibri"/>
          <w:b w:val="0"/>
          <w:color w:val="3A4A28"/>
          <w:sz w:val="17"/>
        </w:rPr>
        <w:t>Figure Technology Solutions — Company mission and 'About Us' page — Figure.com,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Figure Technology Solutions Insider Ownership and Trading Activity — Simply Wall St, MarketBeat, OpenInsider,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Former SoFi CEO Mike Cagney / Figure leadership and culture profile — Fortune, CoinDesk, Fintech Leaders, HousingWire, 2024-2026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yfinance — FIGR key statistics: forward P/E 27.67x, ROE 26.1%, profit margin 38.3%, price $41.14,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