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FINV</w:t>
      </w:r>
      <w:r>
        <w:rPr>
          <w:rFonts w:ascii="Calibri" w:hAnsi="Calibri"/>
          <w:b/>
          <w:color w:val="1A2010"/>
          <w:sz w:val="40"/>
        </w:rPr>
        <w:t xml:space="preserve">  FinVolution Group</w:t>
      </w:r>
    </w:p>
    <w:p>
      <w:pPr>
        <w:spacing w:after="120"/>
      </w:pPr>
      <w:r>
        <w:rPr>
          <w:rFonts w:ascii="Calibri" w:hAnsi="Calibri"/>
          <w:b/>
          <w:color w:val="6E8450"/>
          <w:sz w:val="18"/>
        </w:rPr>
        <w:t>DIVIDEND SLEEVE · 2026-08-28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China</w:t>
      </w:r>
    </w:p>
    <w:p>
      <w:pPr>
        <w:spacing w:after="80"/>
      </w:pPr>
      <w:r>
        <w:rPr>
          <w:rFonts w:ascii="Calibri" w:hAnsi="Calibri"/>
          <w:b w:val="0"/>
          <w:color w:val="3A4A28"/>
          <w:sz w:val="20"/>
        </w:rPr>
        <w:t>FinVolution Group operates an AI-powered online consumer finance marketplace connecting underserved borrowers with institutional funding partners in China and internationally (Indonesia, Philippines). The company uses proprietary machine learning and advanced risk analytics for credit decisioning. Full-year 2025 revenue was RMB 13.6B (+4% YoY) with net profit of RMB 2.5B (+7%), but Q1 2026 saw revenue decline 7.8% YoY to RMB 3.2B with net profit down 42.9%. International revenue surged 34.5% YoY and now contributes nearly 30% of total group revenue. The company guided 2026 revenue to decline 5-15% YoY. Market cap approximately $613M.</w:t>
      </w:r>
    </w:p>
    <w:p>
      <w:r>
        <w:rPr>
          <w:rFonts w:ascii="Calibri" w:hAnsi="Calibri"/>
          <w:b/>
          <w:color w:val="6E8450"/>
          <w:sz w:val="18"/>
        </w:rPr>
        <w:t>4,500 Employees · https://www.finvgroup.com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FinVolution has successfully executed a geographic diversification strategy over the past 5 years, growing international revenue from negligible to nearly 30% of group revenue by Q1 2026, with overseas unique borrowers exceeding 2.45 million and international operating profit surging 88% YoY [1]. This represents a significant business transformation that opened multiple new revenue streams across Southeast Asian markets. AI Deployment (2/2): The company's core business is built on proprietary AI and machine learning for credit decisioning, with models processing millions of loan applications across multiple markets in real time [2]. AI-driven risk model improvements continue to enhance take rates and portfolio economics, and AI powers origination, underwriting, fraud detection, and collections. Market Share (1/2): FinVolution is one of China's leading independent fintech lending platforms, but competes in a crowded market against Ant Group, JD Finance, WeBank, and LexinFintech, without clear category dominance [1]. Pipeline (0/2): No specific next-generation products announced with named timelines. International expansion continues but 2026 guidance projects revenue contraction. R&amp;D Intensity (1/1): As an AI-first fintech platform, technology investment is inherently above the consumer finance industry average, with dedicated data science teams driving continuous model improvement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FinVolution's guiding philosophy of 'Technology, Kindness and Green Principles' combined with its financial inclusion purpose — making credit accessible to underserved populations — is clear and identifies a genuine social purpose, but is not distinctively articulated relative to other fintech lenders and reads more as positioning than transformative vision [3]. Community Impact (1/2): The company published its eighth consecutive annual ESG report highlighting inclusive finance programs, employee development, and social impact across global operations, but no specific dollar amounts or distinctive charitable programs were identified [3]. Employee Retention (0/2): Only 11 Glassdoor reviews exist for FinVolution Group, and no specific employee retention, voluntary turnover, or tenure data was found. Insider Buying (0/2): No evidence of meaningful net insider buying by CEO or executives was identified. Leadership holds equity positions from compensation but no open-market purchases were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FinVolution's financial profile features an exceptionally low D/E of 7% — nearly debt-free for a financial services company — and ROE of 17.79% exceeding the 15% target [4]. The forward P/E of 3.72x is extremely low, well below the 20x target, reflecting the deep China ADR discount and geopolitical risk pricing. Profit margin of approximately 20% meets the target [4]. The primary operating drag is revenue growth: Q1 2026 revenue declined 7.8% YoY against a 10% growth target, with 2026 guidance calling for a 5-15% full-year decline [1]. Dividend metrics are a mixed bag: the 6.28% yield with only 23.5% payout ratio is excellent, and the 14.03% 5-year dividend growth CAGR well exceeds the 6% target [4]. However, the approximately 5-year payment history is short relative to the 10-year target, limiting the contribution of the double-weighted consecutive years paid metric. Liquidity passes the floor at approximately $3.5M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FinVolution demonstrates mixed infinite game characteristics. The financial inclusion mission provides a genuine purpose connecting the company's work to social impact, and the 30% international revenue pivot shows meaningful strategic flexibility. However, leadership language centers on growth metrics and market positioning rather than cause advancement, and the competitive framing is finite — focused on market share rather than learning from rivals. The company has not been tested through the kind of crisis that reveals whether a Just Cause truly guides decisions versus quarterly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FinVolution's financial inclusion mission — making credit accessible to underserved populations through technology — connects the company's work to a genuine social purpose that goes beyond profit [3]. The international expansion into underserved Southeast Asian markets can be traced back to this purpose. However, the company was founded in 2007 and listed in 2017, so the purpose has not been validated through decades of consistent execution or tested through major leadership transitions. The framing is genuine but not yet proven to be the company's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describes a 'people-first approach' fostering a diverse global workforce grounded in employee rights and wellbeing [2]. CEO Tiezheng Li and CFO Jiayuan Xu received consecutive-year recognition as sector-best leaders. Co-founder continuity provides organizational stability. However, only 11 Glassdoor reviews and no specific retention, turnover, or tenure data suggest limited evidence of exceptional organizational trust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FinVolution's competitive language is focused on 'deepening its technological moat,' market positioning, and growth metrics rather than learning from rivals' strengths [2]. No evidence was found of management acknowledging competitors' advantages as motivation for self-improvement. The framing is finite — about winning market position rather than using competitive dynamics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FinVolution has meaningfully adapted its business model, growing from a China-only consumer lending platform to a multi-country operation with nearly 30% international revenue [1]. This geographic diversification represents genuine strategic evolution in response to Chinese regulatory tightening. However, the core business model (AI-driven credit matching) has not fundamentally changed — the company is doing the same thing in more places, which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heavily in international expansion despite near-term margin compression, with overseas operations requiring years of capital commitment before reaching profitability [1]. Maintaining a 6.28% dividend yield during an earnings trough (Q1 2026 net profit down 43% YoY) shows willingness to prioritize long-term shareholder relationships. However, no examples of walking away from profitable but misaligned business lines or making costly principled decisions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FinVolution at 3.72x forward earnings offers deep value exposure to China's consumer fintech recovery, with international growth providing a powerful diversification engine — overseas revenue surged 34.5% YoY to nearly 30% of group total in Q1 2026, with international operating profit up 88% [1]. The near-debt-free balance sheet (D/E 7%) and 17.79% ROE demonstrate capital efficiency unusual for a financial services company [4]. A 6.28% dividend yield with only 23.5% payout ratio and 14% 5-year dividend growth CAGR provides attractive and sustainable income. Sequential improvement in Q1 2026 (revenue up 6% QoQ) suggests domestic operations may be bottoming.</w:t>
      </w:r>
    </w:p>
    <w:p>
      <w:pPr>
        <w:spacing w:after="120"/>
      </w:pPr>
      <w:r>
        <w:rPr>
          <w:rFonts w:ascii="Calibri" w:hAnsi="Calibri"/>
          <w:b w:val="0"/>
          <w:color w:val="3A4A28"/>
          <w:sz w:val="20"/>
        </w:rPr>
        <w:t>The bear case centers on structural China ADR risks and deteriorating domestic fundamentals. The company guided 2026 revenue to decline 5-15% YoY, with Q1 net profit already down 43% — the domestic consumer lending market is contracting under regulatory tightening and weak consumer confidence [1]. As a Chinese ADR with VIE structure, FINV carries permanent geopolitical risk of delisting, capital controls, or regulatory action that the 3.7x forward PE only partially compensates. The $613M market cap and 732K average daily volume create liquidity risk for institutional investors [4]. While international growth is strong, emerging Southeast Asian markets carry their own credit quality and regulatory risks. Competition from well-capitalized tech giants (Ant Group, WeBank, JD Finance) with superior data advantages and distribution threatens long-term market position. The Inspire Impact Score of 0 (MIXED) neither helps nor hinders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trajectory toward 40%+ of group total by end of 2027 would reduce China concentration risk and potentially re-rate the ADR discount as investors gain confidence in geographic diversification [1]</w:t>
      </w:r>
    </w:p>
    <w:p>
      <w:pPr>
        <w:spacing w:before="40" w:after="40"/>
        <w:ind w:left="283"/>
      </w:pPr>
      <w:r>
        <w:rPr>
          <w:rFonts w:ascii="Calibri" w:hAnsi="Calibri"/>
          <w:b/>
          <w:color w:val="4A6B25"/>
          <w:sz w:val="20"/>
        </w:rPr>
        <w:t xml:space="preserve">2. </w:t>
      </w:r>
      <w:r>
        <w:rPr>
          <w:rFonts w:ascii="Calibri" w:hAnsi="Calibri"/>
          <w:b w:val="0"/>
          <w:color w:val="3A4A28"/>
          <w:sz w:val="20"/>
        </w:rPr>
        <w:t>Domestic revenue stabilization in H2 2026 as the company laps the steepest regulatory impacts, with guidance implying sequential improvement through year-end and growth resumption possible in 2027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at 14%+ CAGR combined with potential share buybacks at depressed valuations, pushing total capital return yield above 10% and attracting income-focused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tightening on online lending platforms could force further business model constraints, compress margins, or restrict growth in the core domestic market that still generates 70% of revenue [1]</w:t>
      </w:r>
    </w:p>
    <w:p>
      <w:pPr>
        <w:spacing w:before="40" w:after="40"/>
        <w:ind w:left="283"/>
      </w:pPr>
      <w:r>
        <w:rPr>
          <w:rFonts w:ascii="Calibri" w:hAnsi="Calibri"/>
          <w:b/>
          <w:color w:val="4A6B25"/>
          <w:sz w:val="20"/>
        </w:rPr>
        <w:t xml:space="preserve">2. </w:t>
      </w:r>
      <w:r>
        <w:rPr>
          <w:rFonts w:ascii="Calibri" w:hAnsi="Calibri"/>
          <w:b w:val="0"/>
          <w:color w:val="3A4A28"/>
          <w:sz w:val="20"/>
        </w:rPr>
        <w:t>VIE structure and ADR delisting risk — any escalation in US-China financial market tensions under HFCAA enforcement could render the equity untradeable for US investors, with limited recourse on underlying assets [4]</w:t>
      </w:r>
    </w:p>
    <w:p>
      <w:pPr>
        <w:spacing w:before="40" w:after="40"/>
        <w:ind w:left="283"/>
      </w:pPr>
      <w:r>
        <w:rPr>
          <w:rFonts w:ascii="Calibri" w:hAnsi="Calibri"/>
          <w:b/>
          <w:color w:val="4A6B25"/>
          <w:sz w:val="20"/>
        </w:rPr>
        <w:t xml:space="preserve">3. </w:t>
      </w:r>
      <w:r>
        <w:rPr>
          <w:rFonts w:ascii="Calibri" w:hAnsi="Calibri"/>
          <w:b w:val="0"/>
          <w:color w:val="3A4A28"/>
          <w:sz w:val="20"/>
        </w:rPr>
        <w:t>Credit quality deterioration in nascent Southeast Asian markets (Indonesia, Philippines) as the company scales lending rapidly in less mature consumer finance ecosystems with limited credit bureau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FinVolution's core business IS AI — proprietary machine learning models power credit decisioning, risk assessment, and fraud detection across all markets [2]. AI is an enabler and competitive moat, not a threat; the company's data advantage from billions of credit decisions creates a defensible position. However, the credit assessment AI space faces commoditization risk as LLMs and open-source AI tools lower barriers to entry for new lending platforms. Ant Group, JD Finance, and WeBank deploy comparable or superior AI models with richer data sets and lower cost of capital. Regulatory licenses and institutional lender relationships provide protection, but the technology moat alone is not immune to replication [1]. AI Opportunity (1/1): AI is the product — 100% of FinVolution's revenue is generated through AI-powered credit assessment, risk modeling, and borrower-lender matching. Q1 2026 results cited AI model improvements driving measurable take rate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FinVolution Q1 2026 Earnings — Revenue RMB 3.2B (-7.8% YoY), Net Profit RMB 421M (-42.9% YoY), International Revenue +34.5% YoY, 2026 Guidance -5% to -15% — Motley Fool, Kavout,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FinVolution Leadership, AI &amp; Culture — Proprietary AI/ML Credit Decisioning, CEO Tiezheng Li, CFO Jiayuan Xu, 'People-First Approach' — BriefGlance, TheOrg,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FinVolution ESG — Eighth Annual ESG Report, 'Technology, Kindness and Green Principles,' No Major Controversies — PR Newswire, Stock Titan,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Investing.com — FINV Key Statistics: Forward P/E 3.72x, D/E 7%, ROE 17.79%, Dividend Yield 6.28%, Stock Price $4.73,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