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FIP</w:t>
      </w:r>
      <w:r>
        <w:rPr>
          <w:rFonts w:ascii="Calibri" w:hAnsi="Calibri"/>
          <w:b/>
          <w:color w:val="1A2010"/>
          <w:sz w:val="40"/>
        </w:rPr>
        <w:t xml:space="preserve">  FTAI Infrastructure Inc.</w:t>
      </w:r>
    </w:p>
    <w:p>
      <w:pPr>
        <w:spacing w:after="120"/>
      </w:pPr>
      <w:r>
        <w:rPr>
          <w:rFonts w:ascii="Calibri" w:hAnsi="Calibri"/>
          <w:b/>
          <w:color w:val="6E8450"/>
          <w:sz w:val="18"/>
        </w:rPr>
        <w:t>GROWTH SLEEVE · 2026-09-30 · Inspire: 42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Infrastructure Operations · NASDAQ · United States</w:t>
      </w:r>
    </w:p>
    <w:p>
      <w:pPr>
        <w:spacing w:after="80"/>
      </w:pPr>
      <w:r>
        <w:rPr>
          <w:rFonts w:ascii="Calibri" w:hAnsi="Calibri"/>
          <w:b w:val="0"/>
          <w:color w:val="3A4A28"/>
          <w:sz w:val="20"/>
        </w:rPr>
        <w:t>FTAI Infrastructure Inc. develops, acquires, owns, and operates transportation and energy infrastructure businesses across North America. Key assets include Jefferson Terminal (crude oil storage and processing in Beaumont, Texas), Transtar Railroad (short-line railroad serving the Pittsburgh industrial corridor), Repauno (deep-water port and LNG facility in New Jersey), and Power and Gas operations including the Long Ridge Energy Terminal (pending sale). Spun off from FTAI Aviation Ltd. in August 2022, externally managed by Fortress Investment Group. Market cap approximately $333M with $2.89B total debt.</w:t>
      </w:r>
    </w:p>
    <w:p>
      <w:r>
        <w:rPr>
          <w:rFonts w:ascii="Calibri" w:hAnsi="Calibri"/>
          <w:b/>
          <w:color w:val="6E8450"/>
          <w:sz w:val="18"/>
        </w:rPr>
        <w:t>1,110 Employees · https://www.fipinc.com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FIP completed the Jefferson Terminal SSP bi-directional pipeline project and achieved record quarterly railroad revenues in Q2 2026, with total revenue growing 52.7% YoY to $186.8M from $122.3M [1]. The Transtar Railroad acquisition expanded the company's rail network. However, the growth strategy is fundamentally acquisition-driven rather than organically innovative, and the company continues to generate massive net losses ($321M in H1 2026 alone vs. $24.4M profit in H1 2025) despite revenue growth [1]. AI Deployment (0/2): No evidence of AI deployment in any segment. Infrastructure operations (railroads, oil terminals, power plants) use traditional operational technology [2]. Market Share (0/2): FIP operates niche infrastructure assets — a short-line railroad serving Pittsburgh steel mills, a crude terminal in Beaumont — but holds no leadership position in any broad market category. Product Pipeline (1/2): Repauno Phase Two LNG facility targeting early 2027 operations commencement, and Jefferson Terminal new crude contracts expected to add over $50M in annual incremental EBITDA [1]. Specific projects with timelines provide visibility. R&amp;D Intensity (0/1): Infrastructure company with no reported R&amp;D spending. Capital expenditure reflects asset investment, not research and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FIP's stated purpose — developing, acquiring, owning, and operating transportation and energy infrastructure businesses — is a business operations description, not a mission [2]. It articulates what the company does but not why it exists beyond generating returns for shareholders. Generic and interchangeable with any infrastructure holding company. The sustainability and energy transition segment (waste plastic to fuel, hydrogen, carbon capture) hints at broader purpose but is not positioned as a driving mission. Community Impact (0/2): No company-level charitable programs or community investments identified. The company is externally managed by Fortress Investment Group, creating structural distance from community engagement [2]. Employee Retention (0/2): No employee culture data, Glassdoor reviews, or retention metrics available. External management structure creates separation between management and operating employees. Insider Buying (0/2): Insider ownership is 8.3% but no evidence of net insider buying in the last 12 months. External management structure means executives' economic interests are primarily aligned through Fortress management fees, not direct equity ownership.</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FIP has deeply distressed financials — D/E of 453% far exceeds the 300% floor (score 0), total debt of $2.89B against negative book value of -$2.79/share, and interest expense consuming more than adjusted EBITDA in most quarters [1][4]. ROE of -84.5% scores 0 reflecting massive equity destruction. Profit margin of -83.3% (net loss of $321M on ~$375M H1 revenue) scores 0 [1]. Revenue growth of 52.7% YoY is the sole positive metric, driven by the Transtar acquisition and Jefferson Terminal volume ramp. The Long Ridge Energy Terminal sale is planned to eliminate $1.16B in debt and repay approximately $300M in additional obligations, which would improve the balance sheet but at the cost of a high-EBITDA segment [1]. Forward P/E and PEG are inapplicable for a deeply unprofitable company. Liquidity floor cleared at $3.59M daily trading value ($2.82 x 1.27M avg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FTAI Infrastructure is a deeply finite player — an externally managed infrastructure holding company spun off from FTAI Aviation in 2022, managed by Fortress Investment Group, with no articulated purpose beyond asset ownership and returns. The company has no Just Cause, a short management track record (3.3-year average tenure), and a governance structure where the external manager's fee-based incentives may diverge from long-term shareholder interests. Sinek would identify this as an entity that exists to generate financial returns, not to advance a cause. The stock's 58% decline from its 52-week high of $6.69 reflects the market's finite assessment of the company's near-term prospects.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FIP has no Just Cause. The company's stated purpose — owning and operating infrastructure for returns — is a financial objective, not a vision of a future state [2]. There is no articulated reason the company exists beyond generating revenue from physical assets. The external management structure by Fortress Investment Group reinforces the financial-first framing — the company is an investment vehicle, not a purpose-driven organization. The sustainability/energy transition segment exists but is not positioned as a driving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Average management tenure of 3.3 years reflects the company's youth (August 2022 spin-off), providing insufficient track record to assess organizational trust. The external management structure by Fortress Investment Group creates inherent distance between corporate leadership and the 1,110 operating employees — executives serve as investment managers, not mission-driven leaders embedded in the organization [2]. No employee culture data, Glassdoor reviews, or retention metrics are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FIP operates niche infrastructure assets without meaningful direct competitors in most segments (short-line railroad, specific crude terminal) [1][2]. Communications focus on asset-level EBITDA and debt reduction targets rather than competitive dynamics or self-improvement through rivalry.</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FIP has existed for approximately four years since its August 2022 spin-off and has not faced an existential strategic test [2]. The Long Ridge sale and Repauno expansion represent portfolio management, not transformative pivots. The company is still defining its identity and business mix — too young to have demonstrated the kind of existential flexibility Sinek describes.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pursue the Long Ridge Energy Terminal sale to eliminate $1.16B in debt demonstrates willingness to sacrifice a high-EBITDA asset for long-term balance sheet health [1]. Management continues to invest in Jefferson Terminal SSP expansion and Repauno Phase Two despite operating losses exceeding $600M TTM. However, these decisions are driven by financial necessity (unsustainable leverage) rather than courageous strategic choice — the company has no alternative but to delever.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FTAI Infrastructure offers a deep-value bet on physical infrastructure assets at distressed pricing — $333M market cap for operations generating $76.1M adjusted EBITDA in Q2 2026, including the Transtar Railroad (record quarterly revenues), Jefferson Terminal (crude processing hub with $50M+ incremental annual EBITDA from new contracts), and the Repauno LNG facility (Phase Two targeting early 2027) [1]. Revenue grew 52.7% YoY to $186.8M in Q2 2026. The Long Ridge sale should eliminate $1.46B in combined debt, potentially unlocking significant equity value and reducing interest expense substantially. The 4.25% dividend yield at current prices provides some income while waiting for the deleveraging thesis to play out. The Inspire Impact Score of 42 (ALIGNED) reflects positive attributes in business resilience and energy management.</w:t>
      </w:r>
    </w:p>
    <w:p>
      <w:pPr>
        <w:spacing w:after="120"/>
      </w:pPr>
      <w:r>
        <w:rPr>
          <w:rFonts w:ascii="Calibri" w:hAnsi="Calibri"/>
          <w:b w:val="0"/>
          <w:color w:val="3A4A28"/>
          <w:sz w:val="20"/>
        </w:rPr>
        <w:t>The bear case is severe and structural. FIP has negative book value (-$2.79/share), D/E of 453%, $2.89B in debt, and interest expense that often exceeds adjusted EBITDA [1][4]. The company lost $321M in H1 2026 (vs. $24.4M profit in H1 2025), driven partly by $63.2M asset impairments and $9.6M non-cash warrant losses, but operational losses are also substantial. The Long Ridge sale, while necessary for survival, eliminates a high-EBITDA asset — the company is selling its best business to service debt on weaker ones. The stock has collapsed 58% from $6.69 to $2.82 and carries 26.8% short interest, reflecting market skepticism about the capital structure's viability [4]. The external management structure by Fortress Investment Group creates governance risk: management fees are based on assets, not returns, incentivizing asset accumulation and leverage over shareholder value [2]. The $0.03/quarter dividend ($0.12/year) is not covered by earnings or operating cash flow and represents cash the company cannot afford to distribute.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Long Ridge Energy Terminal sale closing would eliminate $1.16B in debt and repay approximately $300M additional obligations, potentially transforming the balance sheet from distressed to manageable and removing the primary existential risk [1]</w:t>
      </w:r>
    </w:p>
    <w:p>
      <w:pPr>
        <w:spacing w:before="40" w:after="40"/>
        <w:ind w:left="283"/>
      </w:pPr>
      <w:r>
        <w:rPr>
          <w:rFonts w:ascii="Calibri" w:hAnsi="Calibri"/>
          <w:b/>
          <w:color w:val="4A6B25"/>
          <w:sz w:val="20"/>
        </w:rPr>
        <w:t xml:space="preserve">2. </w:t>
      </w:r>
      <w:r>
        <w:rPr>
          <w:rFonts w:ascii="Calibri" w:hAnsi="Calibri"/>
          <w:b w:val="0"/>
          <w:color w:val="3A4A28"/>
          <w:sz w:val="20"/>
        </w:rPr>
        <w:t>Jefferson Terminal crude volume ramp from new contracts expected to add over $50M in annual incremental EBITDA, driven by the completed SSP bi-directional pipeline enabling Gulf Coast crude access [1]</w:t>
      </w:r>
    </w:p>
    <w:p>
      <w:pPr>
        <w:spacing w:before="40" w:after="40"/>
        <w:ind w:left="283"/>
      </w:pPr>
      <w:r>
        <w:rPr>
          <w:rFonts w:ascii="Calibri" w:hAnsi="Calibri"/>
          <w:b/>
          <w:color w:val="4A6B25"/>
          <w:sz w:val="20"/>
        </w:rPr>
        <w:t xml:space="preserve">3. </w:t>
      </w:r>
      <w:r>
        <w:rPr>
          <w:rFonts w:ascii="Calibri" w:hAnsi="Calibri"/>
          <w:b w:val="0"/>
          <w:color w:val="3A4A28"/>
          <w:sz w:val="20"/>
        </w:rPr>
        <w:t>Repauno Phase Two LNG facility targeting early 2027 operations commencement could add a significant new revenue stream to diversify beyond railroad and terminal operations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Negative equity (-$2.79/share), D/E of 453%, and $2.89B total debt with quarterly interest expense exceeding adjusted EBITDA create existential leverage risk — if the Long Ridge sale fails to close, the company faces potential covenant violations or restructuring [1][4]</w:t>
      </w:r>
    </w:p>
    <w:p>
      <w:pPr>
        <w:spacing w:before="40" w:after="40"/>
        <w:ind w:left="283"/>
      </w:pPr>
      <w:r>
        <w:rPr>
          <w:rFonts w:ascii="Calibri" w:hAnsi="Calibri"/>
          <w:b/>
          <w:color w:val="4A6B25"/>
          <w:sz w:val="20"/>
        </w:rPr>
        <w:t xml:space="preserve">2. </w:t>
      </w:r>
      <w:r>
        <w:rPr>
          <w:rFonts w:ascii="Calibri" w:hAnsi="Calibri"/>
          <w:b w:val="0"/>
          <w:color w:val="3A4A28"/>
          <w:sz w:val="20"/>
        </w:rPr>
        <w:t>External management by Fortress Investment Group creates structural conflicts — management fees incentivize asset accumulation rather than shareholder returns, and 26.8% short interest reflects market conviction that governance and capital structure are misaligned [2][4]</w:t>
      </w:r>
    </w:p>
    <w:p>
      <w:pPr>
        <w:spacing w:before="40" w:after="40"/>
        <w:ind w:left="283"/>
      </w:pPr>
      <w:r>
        <w:rPr>
          <w:rFonts w:ascii="Calibri" w:hAnsi="Calibri"/>
          <w:b/>
          <w:color w:val="4A6B25"/>
          <w:sz w:val="20"/>
        </w:rPr>
        <w:t xml:space="preserve">3. </w:t>
      </w:r>
      <w:r>
        <w:rPr>
          <w:rFonts w:ascii="Calibri" w:hAnsi="Calibri"/>
          <w:b w:val="0"/>
          <w:color w:val="3A4A28"/>
          <w:sz w:val="20"/>
        </w:rPr>
        <w:t>Net losses accelerated from $24.4M profit in H1 2025 to $321M loss in H1 2026, with $63.2M in asset impairments suggesting the stated value of remaining infrastructure assets may be overstated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FTAI Infrastructure's core businesses — railroad operations, crude oil storage and processing, LNG facility operations, and power generation — are entirely physical-world activities that AI structurally cannot displace [1][2]. Moving crude oil through pipelines, operating short-line railroads, and generating electricity require massive physical infrastructure, regulatory permits, and geographic specificity that exist completely outside AI's substitution capabilities. Rising AI data center demand may actually increase power consumption, potentially benefiting FIP's Power and Gas segment. The company's competitive moat is the physical assets themselves — you cannot AI-replicate a deep-water crude terminal or a railroad right-of-way. AI Opportunity (0/1): No evidence of AI-related revenue or AI-powered products. Infrastructure operations use traditional operational technology and SCADA systems without reported AI integration.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FTAI Infrastructure Q2 2026 Earnings Release — Revenue $186.8M, Adjusted EBITDA $76.1M, Net Loss $166.5M, Long Ridge Sale Update, StockTitan/Investing.com, August 2026</w:t>
      </w:r>
    </w:p>
    <w:p>
      <w:pPr>
        <w:spacing w:before="20" w:after="20"/>
        <w:ind w:left="170"/>
      </w:pPr>
      <w:r>
        <w:rPr>
          <w:rFonts w:ascii="Calibri" w:hAnsi="Calibri"/>
          <w:b/>
          <w:color w:val="4A6B25"/>
          <w:sz w:val="15"/>
        </w:rPr>
        <w:t xml:space="preserve">2. </w:t>
      </w:r>
      <w:r>
        <w:rPr>
          <w:rFonts w:ascii="Calibri" w:hAnsi="Calibri"/>
          <w:b w:val="0"/>
          <w:color w:val="3A4A28"/>
          <w:sz w:val="17"/>
        </w:rPr>
        <w:t>FTAI Infrastructure Corporate Overview and About Us — fipinc.com, Board and Management,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FTAI Infrastructure Q1 2026 10-Q SEC Filing — Loss Analysis, Long Ridge Sale Plan, StockTitan, May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FIP Key Statistics: Price $2.82, D/E 453%, ROE -84.5%, Market Cap $333M, Short Interest 26.8%, Avg Volume 1.27M,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