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FITB</w:t>
      </w:r>
      <w:r>
        <w:rPr>
          <w:rFonts w:ascii="Calibri" w:hAnsi="Calibri"/>
          <w:b/>
          <w:color w:val="1A2010"/>
          <w:sz w:val="40"/>
        </w:rPr>
        <w:t xml:space="preserve">  Fifth Third Bancorp</w:t>
      </w:r>
    </w:p>
    <w:p>
      <w:pPr>
        <w:spacing w:after="120"/>
      </w:pPr>
      <w:r>
        <w:rPr>
          <w:rFonts w:ascii="Calibri" w:hAnsi="Calibri"/>
          <w:b/>
          <w:color w:val="6E8450"/>
          <w:sz w:val="18"/>
        </w:rPr>
        <w:t>DIVIDEND SLEEVE · 2026-10-04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Fifth Third Bancorp is a diversified financial services company headquartered in Cincinnati, Ohio, founded in 1858. Following the transformative Comerica acquisition (closed February 2026), Fifth Third surpassed $300B in total assets and became a Category III institution. Q2 2026: net income $763M, NII $2.22B (+48% YoY), noninterest income $1.06B (+41% YoY), total deposits $232B (+42% YoY). Wealth AUM reached $128B. The bank operates across commercial banking, consumer banking, wealth management, and commercial payments under CEO Tim Spence. Market cap ~$46B.</w:t>
      </w:r>
    </w:p>
    <w:p>
      <w:r>
        <w:rPr>
          <w:rFonts w:ascii="Calibri" w:hAnsi="Calibri"/>
          <w:b/>
          <w:color w:val="6E8450"/>
          <w:sz w:val="18"/>
        </w:rPr>
        <w:t>25,197 Employees · https://www.53.com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Comerica acquisition transformed Fifth Third from a ~$210B regional bank to a $300B+ Category III institution, dramatically scaling commercial banking, wealth management ($128B AUM, +75% YoY), and payments businesses [1]. Digital transformation under CIO Jude Schramm accelerated technology delivery from approximately 2 major mobile app upgrades annually in 2021 to 500+ in 2025 — a 250x increase in velocity [2]. AI Deployment (1/2): Jeanie AI chatbot won the 2026 Tearsheet Best Chatbot award; in June 2026 the mobile app gained an AI-powered interface with 150 pre-populated intents trained on hundreds of millions of interactions [2]. CEO Spence calls the AI cost results 'pretty remarkable' and advocates more experimentation. CIO Schramm named to American Banker's Most Innovative People in Finance list in 2026 [2]. However, no specific AI-driven cost savings or revenue gains have been publicly quantified with dollar figures. Market Share (1/2): Fifth Third is now a top-15 U.S. bank by assets at $300B+ with $232B deposits (+42% YoY). Q2 2026 consumer deposit acquisition included $2.5B from Comerica conversion campaigns [1]. However, the bank is not a category-defining leader in any specific segment. Product Pipeline (1/2): Comerica systems conversion completed Labor Day weekend 2026, unlocking full run-rate cost synergies. Wealth management growth trajectory ($128B AUM) and commercial payments expansion (+67% YoY) provide near-term revenue catalysts [1]. R&amp;D Intensity (0/1): Banks do not report R&amp;D as a separate line item; technology investment is embedded in noninterest expense and not distinguishable.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Fifth Third's purpose centers on improving the financial lives of customers and the well-being of communities — clear and consistent for a 168-year-old institution, but fundamentally interchangeable with any community-focused bank [3]. The purpose identifies what the company does and for whom without articulating a deeper or distinctive reason for existing beyond financial services delivery. Community Impact (1/2): Fifth Third earned CDP Climate Leadership score of A- for three consecutive years — the only bank in its peer group to maintain leadership band for three consecutive years. First commercial bank to join SASB Alliance and GRI Community (2020) [3]. MSCI rating of A, Sustainalytics 17.4 risk rating. Meaningful ESG commitment but specific community investment dollar amounts were not identified. Employee Retention (0/2): No specific retention, turnover, or tenure data available. The bank grew from 18,676 to 25,197 employees through the Comerica integration, creating organizational transition that makes retention assessment difficult. Insider Buying (0/2): No evidence of meaningful net insider buying by CEO Tim Spence or other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(D/E excluded — null from yfinance; banks use leverage as core business model, making traditional D/E non-comparable). ROE of 8.44% scores 0.56 (1x weight) — below the 15% target, depressed by Comerica integration goodwill expanding the equity base while earnings contribution ramps [1][4]. Revenue growth YoY of 51.8% scores 1.0 (1x weight), driven by Comerica's full contribution to NII and noninterest income. 5-year revenue CAGR of ~5.7% scores 0.71 (1x weight), reflecting modest organic growth supplemented by the transformative acquisition. Forward P/E of 10.27x scores 1.0 (1x weight), well below the 20x target. Profit margin of 23.24% scores 1.0 (1x weight). Payout ratio of 53.9% scores 0.77 (1x weight). Consecutive years paid: ~52 scores 1.0 (2x weight). Consecutive years growth: ~15 scores 1.0 (1x weight). 5-year dividend growth CAGR of ~9.3% scores 1.0 (2x weight). Weighted sum: 10.04/11 = 9. Liquidity floor easily cleared with ~$296M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Fifth Third demonstrates mixed infinite game characteristics — a 168-year operating history, 52 consecutive years of dividends, and consistent leadership under CEO Spence suggest institutional endurance. However, the competitive language, acquisition-driven growth strategy, and lack of a distinctive just cause indicate a company playing to gain scale and win market share rather than to advance an enduring purpose. The Comerica acquisition was strategically sound but driven by efficiency ratios and Category III classification rather than a vision of transforming financial lives.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Fifth Third's purpose — improving the financial lives of customers and communities — is genuine but shallow. It is interchangeable with any regional bank's mission statement. While the 168-year history demonstrates institutional resilience, the purpose does not shape strategic decisions in a distinctive way — the Comerica acquisition was driven by scale advantages, Category III classification, and cost synergies rather than by a vision of fundamentally transforming how people experience banking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Fifth Third maintains a stable organization under CEO Tim Spence with a tight span of control (six direct reports covering finance, operations, risk, technology, commercial banking, and legal) — a conservative, regulator-friendly model [2]. The Comerica systems conversion was managed methodically with consumer deposit conversion generating $2.5B, suggesting organizational competence. However, integrating thousands of Comerica employees into the combined 25,197-person workforce creates cultural integration risk, and no evidence of exceptional trust or empowerment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Fifth Third's competitive posture is oriented toward scale and market positioning — the Comerica acquisition language emphasizes becoming a Category III institution, surpassing $300B in assets, and gaining geographic market share [1]. This is finite-game language about winning through size. No evidence was found of leadership publicly acknowledging competitors' strengths or using competitive pressure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Fifth Third has evolved meaningfully from a traditional regional bank to a diversified $300B+ financial services institution through the Comerica acquisition and digital transformation (500+ app upgrades/year from 2/year in 2021) [1][2]. Wealth management ($128B AUM), commercial payments (+67% YoY), and capital markets (+71% YoY) diversify revenue. However, these are incremental evolutions within banking — not fundamental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Comerica acquisition represents a significant strategic bet — a multi-billion dollar deal transforming Fifth Third from a $210B regional bank to a $300B+ Category III institution [1]. CEO Spence committed to complex integration with execution risk (systems conversion, cultural integration, regulatory approval). Heavy investment in AI and digital transformation during a period of industry disruption shows forward-looking leadership [2]. However, the acquisition was driven by growth economics rather than a principled stand, and no evidence exists of leadership sacrificing short-term earnings for values-based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Fifth Third at 10.27x forward earnings and 3.30% dividend yield is attractively valued for a bank that completed a transformative Comerica acquisition. Q2 2026 results demonstrate integration success — NII of $2.22B (+48% YoY), total deposits $232B (+42% YoY), and wealth AUM of $128B (+75% YoY), with the Labor Day systems conversion unlocking full run-rate cost synergies [1]. The dividend has grown for 15 consecutive years with 9.3% 5-year CAGR, recently raised to $0.42/quarter ($1.68 annually), supported by CET1 capital of 9.93% and net charge-offs at 0.30% [4]. The Jeanie AI chatbot won Best Chatbot 2026, and CIO Schramm was named Most Innovative in Finance, demonstrating digital leadership for a regional bank [2]. The Category III designation and $300B+ asset base position Fifth Third for continued market share gains in commercial banking and wealth management.</w:t>
      </w:r>
    </w:p>
    <w:p>
      <w:pPr>
        <w:spacing w:after="120"/>
      </w:pPr>
      <w:r>
        <w:rPr>
          <w:rFonts w:ascii="Calibri" w:hAnsi="Calibri"/>
          <w:b w:val="0"/>
          <w:color w:val="3A4A28"/>
          <w:sz w:val="20"/>
        </w:rPr>
        <w:t>The bear case centers on integration execution risk, earnings quality, and structural bank challenges. Reported EPS decline of -5.7% YoY reflects Comerica merger charges depressing trailing results, and ROE of 8.44% is below the 15% target due to acquisition goodwill expanding the equity base [1][4]. Revenue growth of 51.8% YoY is almost entirely acquisition-driven; organic growth remains low single digits with a 5-year revenue CAGR of ~5.7% below the 10% target. The payout ratio of 53.9% on reported earnings is elevated, limiting buyback capacity during integration. The stock has declined from $58.01 to $50.87 since August 2026, erasing some post-acquisition gains. Cultural integration of 25,197 combined employees carries operational risk. The Inspire Impact Score of -67 (MISALIGNED) for Abortion Activism and LGBT Activism limits faith-based allocation despite 18 positive ESG attributions. Banks face structural margin pressure from deposit pricing competition and potential credit cycle deterioration.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run-rate Comerica cost synergies post-Labor Day systems conversion — expected to drive efficiency ratio improvement and boost adjusted ROTCE above 16%, potentially triggering P/E multiple expansion from the current 10.27x [1]</w:t>
      </w:r>
    </w:p>
    <w:p>
      <w:pPr>
        <w:spacing w:before="40" w:after="40"/>
        <w:ind w:left="283"/>
      </w:pPr>
      <w:r>
        <w:rPr>
          <w:rFonts w:ascii="Calibri" w:hAnsi="Calibri"/>
          <w:b/>
          <w:color w:val="4A6B25"/>
          <w:sz w:val="20"/>
        </w:rPr>
        <w:t xml:space="preserve">2. </w:t>
      </w:r>
      <w:r>
        <w:rPr>
          <w:rFonts w:ascii="Calibri" w:hAnsi="Calibri"/>
          <w:b w:val="0"/>
          <w:color w:val="3A4A28"/>
          <w:sz w:val="20"/>
        </w:rPr>
        <w:t>Wealth and asset management growth — $128B AUM (+75% YoY) with commercial payments (+67% YoY) and capital markets (+71% YoY) diversifying revenue mix away from rate-sensitive NII toward higher-multiple fee income [1]</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 15 consecutive years of increases, recently raised to $0.42/quarter with 9.3% 5-year CAGR and 3.30% current yield, supported by CET1 9.93% and historically low net charge-offs of 0.30%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 the Comerica integration represents a complex cultural, technological, and operational merger of 25,197 employees; integration missteps could trigger deposit attrition or operational disruptions during the critical accretion period [1]</w:t>
      </w:r>
    </w:p>
    <w:p>
      <w:pPr>
        <w:spacing w:before="40" w:after="40"/>
        <w:ind w:left="283"/>
      </w:pPr>
      <w:r>
        <w:rPr>
          <w:rFonts w:ascii="Calibri" w:hAnsi="Calibri"/>
          <w:b/>
          <w:color w:val="4A6B25"/>
          <w:sz w:val="20"/>
        </w:rPr>
        <w:t xml:space="preserve">2. </w:t>
      </w:r>
      <w:r>
        <w:rPr>
          <w:rFonts w:ascii="Calibri" w:hAnsi="Calibri"/>
          <w:b w:val="0"/>
          <w:color w:val="3A4A28"/>
          <w:sz w:val="20"/>
        </w:rPr>
        <w:t>Credit cycle exposure — the $178.5B loan portfolio (grown 46% through Comerica) includes significant commercial real estate and C&amp;I exposure that could deteriorate in a recession, with the low 0.30% net charge-off rate representing a cyclical trough rather than a permanent state [1]</w:t>
      </w:r>
    </w:p>
    <w:p>
      <w:pPr>
        <w:spacing w:before="40" w:after="40"/>
        <w:ind w:left="283"/>
      </w:pPr>
      <w:r>
        <w:rPr>
          <w:rFonts w:ascii="Calibri" w:hAnsi="Calibri"/>
          <w:b/>
          <w:color w:val="4A6B25"/>
          <w:sz w:val="20"/>
        </w:rPr>
        <w:t xml:space="preserve">3. </w:t>
      </w:r>
      <w:r>
        <w:rPr>
          <w:rFonts w:ascii="Calibri" w:hAnsi="Calibri"/>
          <w:b w:val="0"/>
          <w:color w:val="3A4A28"/>
          <w:sz w:val="20"/>
        </w:rPr>
        <w:t>Organic growth deceleration — excluding Comerica, Fifth Third's core revenue growth is low single digits with a 5-year CAGR of ~5.7%, suggesting limited franchise momentum outside M&amp;A; the ROE of 8.44% must improve materially to justify the current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Fifth Third's core banking business is protected by deep structural moats — FDIC insurance requirements, banking charter regulations, capital adequacy standards (CET1 9.93%), and deposit-based switching costs create barriers that AI-native fintech companies cannot overcome [1]. The $300B+ asset base, physical branch network, and relationship-driven commercial banking add significant friction against digital disruptors. The past decade has demonstrated that fintech companies either become banks or partner with them rather than replacing them. However, AI tools for lending, underwriting, and wealth advisory could compress some margins over time, and neobanks continue to pressure retail deposit pricing at the margins. The Comerica acquisition adds geographic and product diversification that broadens the defensive moat. AI Opportunity (0/1): While Fifth Third deploys AI internally — Jeanie chatbot (2026 Best Chatbot award), AI-powered mobile interface with 150 intents, and CEO-acknowledged 'remarkable' cost results [2] — no specific AI-related revenue figures or quantified cost savings have been publicly reported. AI enhances existing banking services but is not a separately monetized product 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Fifth Third Bancorp Q2 2026 Earnings Release — Net Income $763M (+29% YoY), NII $2.22B (+48%), Noninterest Income $1.06B (+41%), Total Deposits $232B (+42%), Wealth AUM $128B (+75%), CET1 9.93%, NCO 0.30% — ir.53.com, July 2026</w:t>
      </w:r>
    </w:p>
    <w:p>
      <w:pPr>
        <w:spacing w:before="20" w:after="20"/>
        <w:ind w:left="170"/>
      </w:pPr>
      <w:r>
        <w:rPr>
          <w:rFonts w:ascii="Calibri" w:hAnsi="Calibri"/>
          <w:b/>
          <w:color w:val="4A6B25"/>
          <w:sz w:val="15"/>
        </w:rPr>
        <w:t xml:space="preserve">2. </w:t>
      </w:r>
      <w:r>
        <w:rPr>
          <w:rFonts w:ascii="Calibri" w:hAnsi="Calibri"/>
          <w:b w:val="0"/>
          <w:color w:val="3A4A28"/>
          <w:sz w:val="17"/>
        </w:rPr>
        <w:t>Fifth Third AI &amp; Digital Innovation — CIO Jude Schramm Named Most Innovative in Finance, Jeanie Chatbot Won 2026 Best Chatbot, 500+ App Upgrades/Year, AI-Powered Mobile Interface — American Banker/Digital Banker, 2026</w:t>
      </w:r>
    </w:p>
    <w:p>
      <w:pPr>
        <w:spacing w:before="20" w:after="20"/>
        <w:ind w:left="170"/>
      </w:pPr>
      <w:r>
        <w:rPr>
          <w:rFonts w:ascii="Calibri" w:hAnsi="Calibri"/>
          <w:b/>
          <w:color w:val="4A6B25"/>
          <w:sz w:val="15"/>
        </w:rPr>
        <w:t xml:space="preserve">3. </w:t>
      </w:r>
      <w:r>
        <w:rPr>
          <w:rFonts w:ascii="Calibri" w:hAnsi="Calibri"/>
          <w:b w:val="0"/>
          <w:color w:val="3A4A28"/>
          <w:sz w:val="17"/>
        </w:rPr>
        <w:t>Fifth Third ESG Leadership — CDP Climate A- (3 Consecutive Years), First Bank in SASB/GRI, MSCI Rating A, Sustainalytics 17.4, Community Investment Priorities — ir.53.com/CSRWire/KnowESG, 2020-2026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FITB Key Statistics: Forward P/E 10.27x, Trailing P/E 17.13x, ROE 8.44%, Profit Margin 23.24%, Dividend Yield 3.30%, Payout Ratio 53.9%, Stock Price $50.87, Avg Volume 5.81M,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