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FLNC</w:t>
      </w:r>
      <w:r>
        <w:rPr>
          <w:rFonts w:ascii="Calibri" w:hAnsi="Calibri"/>
          <w:b/>
          <w:color w:val="1A2010"/>
          <w:sz w:val="40"/>
        </w:rPr>
        <w:t xml:space="preserve">  Fluence Energy, Inc.</w:t>
      </w:r>
    </w:p>
    <w:p>
      <w:pPr>
        <w:spacing w:after="120"/>
      </w:pPr>
      <w:r>
        <w:rPr>
          <w:rFonts w:ascii="Calibri" w:hAnsi="Calibri"/>
          <w:b/>
          <w:color w:val="6E8450"/>
          <w:sz w:val="18"/>
        </w:rPr>
        <w:t>GROWTH SLEEVE · 2026-08-26 · Inspire: 63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Renewable · NASDAQ · United States</w:t>
      </w:r>
    </w:p>
    <w:p>
      <w:pPr>
        <w:spacing w:after="80"/>
      </w:pPr>
      <w:r>
        <w:rPr>
          <w:rFonts w:ascii="Calibri" w:hAnsi="Calibri"/>
          <w:b w:val="0"/>
          <w:color w:val="3A4A28"/>
          <w:sz w:val="20"/>
        </w:rPr>
        <w:t>Fluence Energy, a Siemens/AES joint-venture spinout that IPO'd in 2021, designs and integrates grid-scale battery energy storage systems (Gridstack, Gridstack Pro, Ultrastack, Smartstack) paired with the Fluence IQ software platform for AI-enabled storage optimization. The company recorded $1.44B of orders and a record $6.4B backlog in Q3 2026 (up 30% YoY), including a major hyperscaler data-center deal, but Q3 revenue of $650M (+8% YoY) missed expectations by ~$90M due to production delays at two new contract manufacturing facilities, prompting management to cut FY2026 revenue guidance to a $2.9-3.1B range from $3.2-3.6B [1].</w:t>
      </w:r>
    </w:p>
    <w:p>
      <w:r>
        <w:rPr>
          <w:rFonts w:ascii="Calibri" w:hAnsi="Calibri"/>
          <w:b/>
          <w:color w:val="6E8450"/>
          <w:sz w:val="18"/>
        </w:rPr>
        <w:t>1,670 Employees · https://fluenceenergy.com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Fluence has scaled into a Tier 1 global battery energy storage integrator (S&amp;P Global 2026 Cleantech List) with record backlog and a landmark Siemens data-center storage partnership, but 2026 also brought a significant guidance cut from production delays at new manufacturing facilities, tempering the case for a fully 'transformative' recent track record [2][3]. AI Deployment (2/2): The Fluence IQ Platform ships AI-enabled digital applications for optimizing renewables and storage assets, offered as an open ecosystem that also manages third-party hardware — a shipped, monetized AI software product, not just an internal pilot [3]. Market Share (2/2): Fluence holds Tier 1 Energy Storage Supplier status on the S&amp;P Global 2026 Cleantech list and posted a record $6.4B backlog (+30% YoY), specific data supporting category leadership in grid-scale storage integration [1][2]. Product Pipeline (2/2): Named, dated products (Gridstack Pro, Ultrastack, Smartstack) and a specific Siemens data-center integration partnership provide concrete pipeline visibility, with ~$2.2B of current backlog already slated to convert to FY2027 revenue [1][3]. R&amp;D Intensity (0/1): No R&amp;D-to-revenue disclosure relative to energy-storage peers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Fluence's stated mission — 'transforming the way we power our world' toward a more sustainable future — is aspirational and connects the business to the broader energy transition, but is standard framing across the clean-energy sector rather than uniquely distinctive [4]. Community Impact (2/2): Fluence has published sustainability reports with a concrete responsible-sourcing framework, a Material Recycling Framework with named battery-recycling partners in North America and Europe, and its first Carbon Disclosure Project submission — specific, verifiable programs [5]. Employee Retention (0/2): Glassdoor reviews describe the CEO making 'impulsive and bizarre policies' and 'frequent mass layoffs at the slightest change in stock or revenue projections,' direct evidence of turnover-driving instability [3]. Insider Buying (0/2): No specific 2026 insider buying transactions were found; insiders hold a meaningful ~14.4% stake but this reflects existing ownership rather than documented recent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(growth-stock weighting). Fluence clears the liquidity floor comfortably (~$111M daily dollar volume). Revenue growth of 8% YoY scores 0.93, and the 3-year revenue CAGR of ~23.6% (FY2022-FY2025) caps at 1.0. Debt-to-equity of 95.8% scores 0.89 against the 70% target. However, profitability metrics are weak: ROE of -23.5% and profit margin of -3.1% both score zero (below the 0% floor), Forward P/E of 66.5x sits at/above the 60x floor and scores zero, and Forward PEG of 3.18 sits at/above the 3.0 floor and also scores zero — reflecting a company still unprofitable on a trailing basis and richly valued relative to near-term earnings despite genuine top-line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Fluence's mission to transform how the world is powered is genuinely reflected in its open, third-party-inclusive software ecosystem and concrete sustainability programs, and the company was itself born from an existential pivot — a Siemens/AES joint venture spun out into an independent public platform. But repeated execution stumbles (the FY2026 guidance cut from production delays) and Glassdoor evidence of a reactive, layoff-prone leadership style hold Fluence back from a stronger infinite-game score.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'Transforming the way we power our world' toward a more sustainable future is a resilient, service-oriented, and idealistic framing that clearly extends beyond any single product, and leadership has referenced it in the context of the company's open-ecosystem software strategy [3][4]. But Fluence is only five years old as a public company and has not yet been tested through a full economic cycle, and the FY2026 guidance cut suggests execution has not fully caught up to the stated ambition.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specifically describe the CEO making 'impulsive and bizarre policies' and 'frequent mass layoffs at the slightest change in stock or revenue projections' — direct, specific evidence of a low-trust, reactive management style, only partially offset by other reviews describing supportive colleagues [3].</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Fluence explicitly operates an 'open digital ecosystem' in which the Fluence IQ software platform manages and optimizes not only Fluence's own hardware but also storage systems from other providers — a collaborative, non-zero-sum competitive posture rather than an attempt to lock customers into a closed, walled-garden system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Fluence's very existence is the product of an existential pivot — Siemens and AES combined their respective energy-storage businesses into an independent, IPO'd company in 2021 — and it has continued to broaden beyond pure hardware sales into an open third-party software ecosystem, though it has not undertaken a further transformative reinvention since its founding spinout.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continued investing in new contract manufacturing capacity ahead of confirmed demand and maintained software-platform investment despite negative trailing profitability, showing some willingness to prioritize long-term capacity over near-term earnings — though the resulting production delays and guidance cut also point to planning discipline gaps rather than purely deliberate strategic sacrifice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Fluence is riding a genuine demand super-cycle in grid-scale battery storage, capped by a record $6.4B backlog at the end of Q3 2026 (+30% YoY, +14% sequentially) built on $1.44B of quarterly orders including a major hyperscaler data-center deal — direct evidence that AI infrastructure buildout is a demand tailwind rather than a threat to Fluence's core business [1]. The company holds Tier 1 Energy Storage Supplier status on the S&amp;P Global 2026 Cleantech list, and its Fluence IQ software platform's open, third-party-inclusive design differentiates it from hardware-only competitors while adding a higher-margin recurring revenue layer [2][3]. With ~$2.2B of existing backlog already slated to convert into FY2027 revenue, near-term revenue visibility is strong even after the FY2026 guidance reset.</w:t>
      </w:r>
    </w:p>
    <w:p>
      <w:pPr>
        <w:spacing w:after="120"/>
      </w:pPr>
      <w:r>
        <w:rPr>
          <w:rFonts w:ascii="Calibri" w:hAnsi="Calibri"/>
          <w:b w:val="0"/>
          <w:color w:val="3A4A28"/>
          <w:sz w:val="20"/>
        </w:rPr>
        <w:t>The bear case is that Fluence is struggling to execute against its own demand, not just capture it. Q3 2026 revenue of $650M missed expectations by ~$90M and FY2026 guidance was cut by roughly $400M at the midpoint due to production delays at two new contract manufacturing facilities, with adjusted EBITDA guidance falling to roughly breakeven from a prior $50M target [1]. Backlog now stands at roughly 8.5x quarterly revenue run-rate — well above the &gt;3x 'strong visibility' threshold and into the &gt;8x range that can signal capacity constraints rather than pure strength, consistent with the delays already seen. ROE of -23.5% and profit margin of -3.1% confirm the company remains unprofitable on a trailing basis, while a 66.5x forward P/E and 3.18 forward PEG price in a demanding execution recovery. Glassdoor reviews describing reactive, layoff-driven leadership add governance-quality risk on top of the operational execution risk already evident in the guidance cut.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Conversion of the record $6.4B backlog into revenue, with ~$2.2B already slated for FY2027, as new contract manufacturing capacity ramps past its current delays [1]</w:t>
      </w:r>
    </w:p>
    <w:p>
      <w:pPr>
        <w:spacing w:before="40" w:after="40"/>
        <w:ind w:left="283"/>
      </w:pPr>
      <w:r>
        <w:rPr>
          <w:rFonts w:ascii="Calibri" w:hAnsi="Calibri"/>
          <w:b/>
          <w:color w:val="4A6B25"/>
          <w:sz w:val="20"/>
        </w:rPr>
        <w:t xml:space="preserve">2. </w:t>
      </w:r>
      <w:r>
        <w:rPr>
          <w:rFonts w:ascii="Calibri" w:hAnsi="Calibri"/>
          <w:b w:val="0"/>
          <w:color w:val="3A4A28"/>
          <w:sz w:val="20"/>
        </w:rPr>
        <w:t>Continued hyperscaler/data-center demand for grid-scale storage, building on the Siemens data-center integration partnership and the large hyperscaler order embedded in Q3 2026's record order intake [1][2]</w:t>
      </w:r>
    </w:p>
    <w:p>
      <w:pPr>
        <w:spacing w:before="40" w:after="40"/>
        <w:ind w:left="283"/>
      </w:pPr>
      <w:r>
        <w:rPr>
          <w:rFonts w:ascii="Calibri" w:hAnsi="Calibri"/>
          <w:b/>
          <w:color w:val="4A6B25"/>
          <w:sz w:val="20"/>
        </w:rPr>
        <w:t xml:space="preserve">3. </w:t>
      </w:r>
      <w:r>
        <w:rPr>
          <w:rFonts w:ascii="Calibri" w:hAnsi="Calibri"/>
          <w:b w:val="0"/>
          <w:color w:val="3A4A28"/>
          <w:sz w:val="20"/>
        </w:rPr>
        <w:t>Stabilization of production execution at the two new contract manufacturing facilities, which would allow FY2027 guidance to reflect the full backlog conversion rather than continued capacity-driven delays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Execution risk at new contract manufacturing facilities already cost ~$90M of Q3 2026 revenue and $400M of FY2026 guidance at the midpoint — further delays would compound the credibility hit [1]</w:t>
      </w:r>
    </w:p>
    <w:p>
      <w:pPr>
        <w:spacing w:before="40" w:after="40"/>
        <w:ind w:left="283"/>
      </w:pPr>
      <w:r>
        <w:rPr>
          <w:rFonts w:ascii="Calibri" w:hAnsi="Calibri"/>
          <w:b/>
          <w:color w:val="4A6B25"/>
          <w:sz w:val="20"/>
        </w:rPr>
        <w:t xml:space="preserve">2. </w:t>
      </w:r>
      <w:r>
        <w:rPr>
          <w:rFonts w:ascii="Calibri" w:hAnsi="Calibri"/>
          <w:b w:val="0"/>
          <w:color w:val="3A4A28"/>
          <w:sz w:val="20"/>
        </w:rPr>
        <w:t>Backlog-to-revenue ratio of roughly 8.5x quarters is high enough to signal capacity constraints rather than pure demand strength, and further guidance cuts would confirm execution, not demand, is the binding constraint</w:t>
      </w:r>
    </w:p>
    <w:p>
      <w:pPr>
        <w:spacing w:before="40" w:after="40"/>
        <w:ind w:left="283"/>
      </w:pPr>
      <w:r>
        <w:rPr>
          <w:rFonts w:ascii="Calibri" w:hAnsi="Calibri"/>
          <w:b/>
          <w:color w:val="4A6B25"/>
          <w:sz w:val="20"/>
        </w:rPr>
        <w:t xml:space="preserve">3. </w:t>
      </w:r>
      <w:r>
        <w:rPr>
          <w:rFonts w:ascii="Calibri" w:hAnsi="Calibri"/>
          <w:b w:val="0"/>
          <w:color w:val="3A4A28"/>
          <w:sz w:val="20"/>
        </w:rPr>
        <w:t>Persistent unprofitability (ROE -23.5%, profit margin -3.1%) combined with a rich 66.5x forward P/E leaves little room for further disappointment before a significant valuation reset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Fluence's business is physical grid infrastructure — battery hardware, integration, and long-term service contracts — that AI cannot replace; if anything, the AI data-center buildout is a direct demand tailwind, evidenced by Fluence's new partnership with Siemens to integrate battery storage into Siemens' data-center ecosystem and a major hyperscaler order contributing to the record $6.4B backlog [1][2]. This is a case where AI infrastructure growth increases, rather than threatens, demand for the company's core product. AI Opportunity (1/1): The Fluence IQ software platform is a monetized, AI-enabled product layer sold alongside hardware, and the Siemens data-center storage partnership is explicitly tied to AI infrastructure buildout demand, giving Fluence clear, quantifiable AI-linked revenue exposure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Fluence Energy Reports Third Fiscal Quarter 2026 Results (record $6.4B backlog, $1.44B orders, guidance cut) — GlobeNewswire, StockTitan, GuruFocus, Motley Fool, August 2026</w:t>
      </w:r>
    </w:p>
    <w:p>
      <w:pPr>
        <w:spacing w:before="20" w:after="20"/>
        <w:ind w:left="170"/>
      </w:pPr>
      <w:r>
        <w:rPr>
          <w:rFonts w:ascii="Calibri" w:hAnsi="Calibri"/>
          <w:b/>
          <w:color w:val="4A6B25"/>
          <w:sz w:val="15"/>
        </w:rPr>
        <w:t xml:space="preserve">2. </w:t>
      </w:r>
      <w:r>
        <w:rPr>
          <w:rFonts w:ascii="Calibri" w:hAnsi="Calibri"/>
          <w:b w:val="0"/>
          <w:color w:val="3A4A28"/>
          <w:sz w:val="17"/>
        </w:rPr>
        <w:t>Fluence Retains Tier 1 Energy Storage Supplier Status in S&amp;P Global 2026 Cleantech List; Siemens data-center storage partnership — Fluence IR press release, PV Magazine USA, 2026</w:t>
      </w:r>
    </w:p>
    <w:p>
      <w:pPr>
        <w:spacing w:before="20" w:after="20"/>
        <w:ind w:left="170"/>
      </w:pPr>
      <w:r>
        <w:rPr>
          <w:rFonts w:ascii="Calibri" w:hAnsi="Calibri"/>
          <w:b/>
          <w:color w:val="4A6B25"/>
          <w:sz w:val="15"/>
        </w:rPr>
        <w:t xml:space="preserve">3. </w:t>
      </w:r>
      <w:r>
        <w:rPr>
          <w:rFonts w:ascii="Calibri" w:hAnsi="Calibri"/>
          <w:b w:val="0"/>
          <w:color w:val="3A4A28"/>
          <w:sz w:val="17"/>
        </w:rPr>
        <w:t>Fluence IQ Platform and Leadership Culture (CEO Julian Nebreda, Glassdoor reviews) — Fluence blog, LinkedIn, Glassdoor,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Fluence Energy Mission Statement and Sustainability Report (responsible sourcing, battery recycling, CDP submission) — Fluence.com sustainability page, GlobeNewswire, accessed 2025-2026</w:t>
      </w:r>
    </w:p>
    <w:p>
      <w:pPr>
        <w:spacing w:before="20" w:after="20"/>
        <w:ind w:left="170"/>
      </w:pPr>
      <w:r>
        <w:rPr>
          <w:rFonts w:ascii="Calibri" w:hAnsi="Calibri"/>
          <w:b/>
          <w:color w:val="4A6B25"/>
          <w:sz w:val="15"/>
        </w:rPr>
        <w:t xml:space="preserve">5. </w:t>
      </w:r>
      <w:r>
        <w:rPr>
          <w:rFonts w:ascii="Calibri" w:hAnsi="Calibri"/>
          <w:b w:val="0"/>
          <w:color w:val="3A4A28"/>
          <w:sz w:val="17"/>
        </w:rPr>
        <w:t>Fluence Energy Releases Fiscal Year 2024 Sustainability Report — Nasdaq, Quiver Quantitative, StreetInsider, 2025</w:t>
      </w:r>
    </w:p>
    <w:p>
      <w:pPr>
        <w:spacing w:before="20" w:after="20"/>
        <w:ind w:left="170"/>
      </w:pPr>
      <w:r>
        <w:rPr>
          <w:rFonts w:ascii="Calibri" w:hAnsi="Calibri"/>
          <w:b/>
          <w:color w:val="4A6B25"/>
          <w:sz w:val="15"/>
        </w:rPr>
        <w:t xml:space="preserve">6. </w:t>
      </w:r>
      <w:r>
        <w:rPr>
          <w:rFonts w:ascii="Calibri" w:hAnsi="Calibri"/>
          <w:b w:val="0"/>
          <w:color w:val="3A4A28"/>
          <w:sz w:val="17"/>
        </w:rPr>
        <w:t>Yahoo Finance / yfinance — FLNC key statistics: forward P/E 66.46x, forward PEG 3.18, ROE -23.5%, price $11.24,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