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FLYW</w:t>
      </w:r>
      <w:r>
        <w:rPr>
          <w:rFonts w:ascii="Calibri" w:hAnsi="Calibri"/>
          <w:b/>
          <w:color w:val="1A2010"/>
          <w:sz w:val="40"/>
        </w:rPr>
        <w:t xml:space="preserve">  Flywire Corporation</w:t>
      </w:r>
    </w:p>
    <w:p>
      <w:pPr>
        <w:spacing w:after="120"/>
      </w:pPr>
      <w:r>
        <w:rPr>
          <w:rFonts w:ascii="Calibri" w:hAnsi="Calibri"/>
          <w:b/>
          <w:color w:val="6E8450"/>
          <w:sz w:val="18"/>
        </w:rPr>
        <w:t>GROWTH SLEEVE · 2026-09-17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Flywire operates a vertical-specific global payments platform embedded into the software workflows of higher education, healthcare, B2B, and travel/hospitality clients, handling complex cross-border invoicing, settlement, reconciliation, and FX. FY2025 transaction revenue was $502.7M (up 22.5% YoY), and the company guides to 15-21% FX-neutral revenue growth for 2026 with EBITDA margin expanding toward ~22.8%. The 2025 Sertifi acquisition extended Flywire's reach into hospitality payments.</w:t>
      </w:r>
    </w:p>
    <w:p>
      <w:r>
        <w:rPr>
          <w:rFonts w:ascii="Calibri" w:hAnsi="Calibri"/>
          <w:b/>
          <w:color w:val="6E8450"/>
          <w:sz w:val="18"/>
        </w:rPr>
        <w:t>1,500 Employees · https://www.flywire.com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Revenue has compounded from $131.8M (2020) to $502.7M (2025), and Q1 2026 revenue grew 41% YoY to $188.1M, with the 2025 Sertifi acquisition extending the platform into hospitality payments and management guiding to 15-21% FX-neutral growth for 2026 [1]. AI Deployment (2/2): Flywire reports a 40% reduction in payer support tickets as manual queues shifted to automated agentic AI processes, and CEO Mike Massaro explicitly frames AI as core to making 'payments smarter, faster, and more secure' [2]. Market Share (1/2): Flywire is a recognized leader in cross-border education and healthcare payments niches but remains a small player relative to global payment processors (Fiserv, Worldpay, Adyen), with genuine but narrow vertical differentiation. Pipeline (1/2): The January 2026 elevation of the CTO to Chief Product Officer &amp; Co-President of Global Education signals sustained investment in product/AI-driven workflow development, though the pipeline is incremental rather than category-creating [2]. R&amp;D Intensity (1/1): The scale of Flywire's embedded, vertical-specific software integrations across multiple industries implies R&amp;D intensity above typical payments-processor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Flywire's positioning around simplifying complex, high-stakes cross-border payments for students, patients, and travelers is more specific than generic fintech messaging, though it remains largely a product-value proposition rather than a transformative societal cause [2]. Community Impact (2/2): The Flywire Charitable Foundation has tripled in size since its 2020 inception, and the company published an ESG report as early as 2022 covering GHG auditing and compliance-focused governance — genuine, sustained community investment for a company of this size [3]. Employee Retention (1/2): CEO Massaro's 'three-pronged' streamlining/optimization/reinvestment restructuring in 2025-2026, paired with a leadership reshuffle elevating the CTO to co-president, suggests active organizational change; no explicit turnover data is available. Insider Buying (1/2): No confirmed net insider buying was identified, though continuity of founder-era technology leadership through the restructuring is a modest positive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Growth-sleeve weights (ROE 2x, Rev Growth 5yr CAGR 2x; PEG unavailable and excluded from the weighted average). D/E of 0.18% is negligible, clearing the 70% target with room to spare (score 1.0). Revenue growth of 27.2% YoY and an estimated 5-year revenue CAGR of ~35% (from $131.8M in 2020 to ~$583M LTM) both clear their 10% targets outright (scores 1.0) [1]. Forward P/E of 13.2 clears the 20 target comfortably (score 1.0). ROE of 4.23% and profit margin of 4.77% both fall well short of their 15%/20% targets (scores 0.28 and 0.24), reflecting a business still converting rapid top-line growth into durable GAAP profitability — 2025 GAAP net income was $13.5M against $502.7M revenue [1]. Liquidity floor cleared comfortably at ~$35.5M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Flywire's five-year run from $131.8M to over $580M in revenue and its sustained Charitable Foundation investment reflect long-horizon thinking, but the 2025-2026 leadership reshuffle and 'streamlining, optimization, reinvestment' restructuring under CEO Massaro reveal a company still actively managing near-term cost structure and organizational uncertainty as a relatively young public company (IPO 2021).</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Flywire's mission of simplifying high-stakes payments for students, patients, and travelers has real social utility, and the Charitable Foundation's growth since 2020 shows the purpose is backed by resources, but the company has not articulated a distinctive cause beyond good product-market fit in a lucrative niche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January 2026 leadership restructuring (CTO to Chief Product Officer &amp; Co-President) alongside a broader 2025-2026 organizational streamlining effort suggests active change management; whether this reflects healthy evolution or reactive turbulence is not fully clear from public information [2].</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partial): Flywire operates in a competitive cross-border payments space against both vertical specialists and large processors, but expressed competitive framing centers on differentiation and defensibility rather than explicit acknowledgment of rivals' strengths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2025 Sertifi acquisition extending Flywire into hospitality payments, alongside the 2026 leadership restructuring emphasizing AI-driven workflows, shows willingness to expand the platform's addressable market and adapt its operating model as growth normalizes from hypergrowth levels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partial): Massaro's three-pronged restructuring (streamlining, optimization, reinvestment) accepts near-term organizational disruption to reposition for durable growth, but the plan reads more as a response to decelerating growth expectations than a proactive long-term sacrifice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Flywire has compounded revenue at roughly 35% annually since 2020, reaching $502.7M in 2025 (up 22.5% YoY) with Q1 2026 revenue accelerating to 41% YoY growth, while EBITDA margin expands toward a guided ~22.8% for 2026 [1]. The vertical-specific embedded payments model (education, healthcare, B2B, and now hospitality via the 2025 Sertifi acquisition) creates switching costs and regulatory moats that CEO Massaro argues insulate the business from generic AI payments disruption [2]. A pristine balance sheet (D/E of 0.18%) and forward P/E of just 13.2 leave room for multiple expansion if growth durability is confirmed, and the Inspire Impact Score of 47 (ALIGNED) reflects a genuinely values-consistent operating profile, though this carries 0% weight in the overall score.</w:t>
      </w:r>
    </w:p>
    <w:p>
      <w:pPr>
        <w:spacing w:after="120"/>
      </w:pPr>
      <w:r>
        <w:rPr>
          <w:rFonts w:ascii="Calibri" w:hAnsi="Calibri"/>
          <w:b w:val="0"/>
          <w:color w:val="3A4A28"/>
          <w:sz w:val="20"/>
        </w:rPr>
        <w:t>The bear case centers on profitability lag and leadership churn. ROE of 4.23% and profit margin of 4.77% show the business has not yet translated its growth into strong GAAP returns, and 2025 GAAP net income of just $13.5M on $502.7M revenue leaves little room for execution missteps [1]. The January 2026 leadership restructuring (CTO to Co-President) layered on top of a broader 2025-2026 streamlining initiative could reflect either healthy scaling or underlying organizational strain as growth normalizes from post-IPO hypergrowth rates. Flywire also remains a relatively narrow vertical player against processors with far greater scale, and any slowdown in higher-education or medical cross-border payment volumes (its largest verticals) would disproportionately affect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FX-neutral revenue growth of 15-21% for 2026 and EBITDA margin expansion toward ~22.8%, converting scale into durable GAAP profitability [1]</w:t>
      </w:r>
    </w:p>
    <w:p>
      <w:pPr>
        <w:spacing w:before="40" w:after="40"/>
        <w:ind w:left="283"/>
      </w:pPr>
      <w:r>
        <w:rPr>
          <w:rFonts w:ascii="Calibri" w:hAnsi="Calibri"/>
          <w:b/>
          <w:color w:val="4A6B25"/>
          <w:sz w:val="20"/>
        </w:rPr>
        <w:t xml:space="preserve">2. </w:t>
      </w:r>
      <w:r>
        <w:rPr>
          <w:rFonts w:ascii="Calibri" w:hAnsi="Calibri"/>
          <w:b w:val="0"/>
          <w:color w:val="3A4A28"/>
          <w:sz w:val="20"/>
        </w:rPr>
        <w:t>Further integration and cross-sell of the 2025 Sertifi acquisition into Flywire's core education and healthcare client base, extending vertical diversification [1]</w:t>
      </w:r>
    </w:p>
    <w:p>
      <w:pPr>
        <w:spacing w:before="40" w:after="40"/>
        <w:ind w:left="283"/>
      </w:pPr>
      <w:r>
        <w:rPr>
          <w:rFonts w:ascii="Calibri" w:hAnsi="Calibri"/>
          <w:b/>
          <w:color w:val="4A6B25"/>
          <w:sz w:val="20"/>
        </w:rPr>
        <w:t xml:space="preserve">3. </w:t>
      </w:r>
      <w:r>
        <w:rPr>
          <w:rFonts w:ascii="Calibri" w:hAnsi="Calibri"/>
          <w:b w:val="0"/>
          <w:color w:val="3A4A28"/>
          <w:sz w:val="20"/>
        </w:rPr>
        <w:t>Continued AI-driven support automation (40% ticket reduction to date) lowering the cost to serve and improving operating leverage as volume scales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Thin GAAP profitability (4.77% margin, 4.23% ROE) leaves limited buffer if growth decelerates or integration costs from Sertifi run higher than expected [4]</w:t>
      </w:r>
    </w:p>
    <w:p>
      <w:pPr>
        <w:spacing w:before="40" w:after="40"/>
        <w:ind w:left="283"/>
      </w:pPr>
      <w:r>
        <w:rPr>
          <w:rFonts w:ascii="Calibri" w:hAnsi="Calibri"/>
          <w:b/>
          <w:color w:val="4A6B25"/>
          <w:sz w:val="20"/>
        </w:rPr>
        <w:t xml:space="preserve">2. </w:t>
      </w:r>
      <w:r>
        <w:rPr>
          <w:rFonts w:ascii="Calibri" w:hAnsi="Calibri"/>
          <w:b w:val="0"/>
          <w:color w:val="3A4A28"/>
          <w:sz w:val="20"/>
        </w:rPr>
        <w:t>Concentration in higher-education and medical cross-border payment volumes exposes Flywire to international student flow policy shifts and healthcare billing regulation changes [1]</w:t>
      </w:r>
    </w:p>
    <w:p>
      <w:pPr>
        <w:spacing w:before="40" w:after="40"/>
        <w:ind w:left="283"/>
      </w:pPr>
      <w:r>
        <w:rPr>
          <w:rFonts w:ascii="Calibri" w:hAnsi="Calibri"/>
          <w:b/>
          <w:color w:val="4A6B25"/>
          <w:sz w:val="20"/>
        </w:rPr>
        <w:t xml:space="preserve">3. </w:t>
      </w:r>
      <w:r>
        <w:rPr>
          <w:rFonts w:ascii="Calibri" w:hAnsi="Calibri"/>
          <w:b w:val="0"/>
          <w:color w:val="3A4A28"/>
          <w:sz w:val="20"/>
        </w:rPr>
        <w:t>Recent leadership restructuring (CTO to Co-President, broader organizational streamlining) introduces execution and continuity risk during a period of decelerating hypergrowth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CEO Massaro directly addressed AI disruption risk, arguing that Flywire's regulated global payments infrastructure, deep embedding into client software workflows, multi-year customer agreements, and subject-matter expertise in complex vertical payment flows (tuition, medical bills, B2B invoicing) create durable barriers to AI-native disintermediation [2]. Regulatory licensing requirements across dozens of countries and currencies add a compliance moat that a generic AI payments tool cannot easily replicate. Some risk exists from AI-native fintech entrants targeting simpler cross-border payment corridors and from large processors embedding similar AI agentic capabilities. AI Opportunity (1/1): The 40% reduction in payer support tickets from agentic AI automation is a concrete, quantified efficiency gain, and the elevation of the CTO to Chief Product Officer &amp; Co-President reflects AI-driven product strategy embedded at the leadership level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Flywire Q4/FY2025 and Q1 2026 Earnings Releases, FY2026 Guidance (15-21% FX-neutral growth, ~22.8% EBITDA margin) — ir.flywire.com,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Flywire CEO Mike Massaro on AI strategy, disruption risk, and January 2026 leadership restructuring — The Globe and Mail, Flywire.com,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Flywire ESG Report 2022, Flywire Charitable Foundation — flywire.com/company/esg,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yfinance / Macrotrends — FLYW key statistics: price $17.80, forward P/E 13.23, D/E 0.18%, ROE 4.23%, profit margin 4.77%, revenue growth 27.2% YoY, avg volume 1.99M; historical revenue 2020-2025,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