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FOLD</w:t>
      </w:r>
      <w:r>
        <w:rPr>
          <w:rFonts w:ascii="Calibri" w:hAnsi="Calibri"/>
          <w:b/>
          <w:color w:val="1A2010"/>
          <w:sz w:val="40"/>
        </w:rPr>
        <w:t xml:space="preserve">  Amicus Therapeutics, Inc.</w:t>
      </w:r>
    </w:p>
    <w:p>
      <w:pPr>
        <w:spacing w:after="120"/>
      </w:pPr>
      <w:r>
        <w:rPr>
          <w:rFonts w:ascii="Calibri" w:hAnsi="Calibri"/>
          <w:b/>
          <w:color w:val="6E8450"/>
          <w:sz w:val="18"/>
        </w:rPr>
        <w:t>GROWTH SLEEVE · 2026-10-15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Amicus Therapeutics was a rare disease biopharmaceutical company focused on developing and commercializing therapies for Fabry disease (Galafold/migalastat) and Pompe disease (Pombiliti+Opfolda). The company generated $634M in FY2025 revenue growing 17% YoY, with non-GAAP net income of $96.8M. BioMarin Pharmaceutical acquired Amicus for $14.50/share ($4.8B) in an all-cash transaction that closed April 27, 2026, after which FOLD was delisted from NASDAQ.</w:t>
      </w:r>
    </w:p>
    <w:p>
      <w:r>
        <w:rPr>
          <w:rFonts w:ascii="Calibri" w:hAnsi="Calibri"/>
          <w:b/>
          <w:color w:val="6E8450"/>
          <w:sz w:val="18"/>
        </w:rPr>
        <w:t>800 Employees · https://www.amicusrx.com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Amicus successfully commercialized two rare disease products — Galafold ($521.7M in FY2025, +12% CER) for Fabry disease and Pombiliti+Opfolda ($112.5M, +56% CER) for Pompe disease — transforming from clinical-stage to a $634M revenue operation [1]. Both represent meaningful advances in enzyme replacement therapy, though neither created an entirely new therapeutic category. AI Deployment (0/2): No evidence of AI-powered products or AI-driven operational efficiencies; Amicus operated as a traditional biotech with conventional clinical trial-based R&amp;D processes. Market Share (1/2): Galafold holds a meaningful niche as the only approved oral treatment for amenable Fabry disease mutations, competing against Sanofi's Fabrazyme and Takeda's Replagal intravenous therapies [1]. Product Pipeline (1/2): Prior to acquisition, Amicus had gene therapy research programs and label expansion efforts for existing products in additional geographies, though pipeline depth was limited compared to larger rare disease peers and lacked named next-gen products with specific timelines. R&amp;D Intensity (1/1): R&amp;D spending was substantial relative to revenue (~28% of FY2025 revenue), reflecting ongoing investment in rare disease clinical programs and exceeding the biotech industry median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Amicus — Latin for 'friend' — was founded by John Crowley, whose two children were diagnosed with Pompe disease, creating one of biotech's most personally rooted corporate missions: transforming the lives of people living with rare metabolic diseases [4]. The 'Healing Beyond Disease' initiative and patient access programs in 50+ countries reflected genuine commitment beyond commercial obligations. CEO Bradley Campbell consistently articulated a purpose beyond shareholder returns. Falls short of 4 because the sale to BioMarin ended independent pursuit of the cause. Community Impact (1/2): The company maintained robust patient assistance and compassionate use programs globally, with 89% board independence and 56% board diversity [4]. However, dollar-level charitable giving data is not specifically quantified beyond program descriptions. Employee Retention (1/2): Glassdoor reviews describe a patient-focused culture where employees feel they are making a meaningful impact, with an approachable CEO [3]. However, reviews also cite poor leadership communication and a conservative approach to innovation, placing retention at roughly industry average. Insider Buying (0/2): No evidence of meaningful net insider buying by executives in the 12 months prior to the BioMarin acquisition announcement.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Revenue growth is the standout strength — 17% YoY and an estimated 19% five-year CAGR both exceed the 10% target (scores 1.0 each), reflecting successful Galafold geographic expansion and rapid Pombiliti+Opfolda adoption [1]. D/E of 143.2% is above the 70% target but below the 300% floor, scoring 0.68 (1x weight). However, GAAP profitability remained elusive: ROE of -9.9% scores 0 (2x weight) and profit margin of -4.3% scores 0 (1x weight), despite non-GAAP net income of $96.8M indicating underlying operational profitability [1]. Forward P/E and PEG ratio are unavailable following delisting. Weighted sum of 3.68 on 7 available weight units yields 5.26, rounded to 5. Liquidity floor was easily met with estimated daily dollar volume of ~$58M prior to delisting.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Amicus demonstrated meaningful infinite game characteristics through its deeply personal patient-first mission, willingness to invest through a decade of operating losses to bring rare disease therapies to market, and genuine commitment to patients beyond commercial returns. The company's founding story — John Crowley creating a company to save his children — represents one of biotech's most authentic Just Causes. However, the decision to sell to BioMarin for $14.50/share, while delivering shareholder value, ended Amicus as an independent entity, raising questions about whether the infinite game mindset extended to defending long-term independence.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Amicus's founding story — John Crowley creating a company to save his children diagnosed with Pompe disease — represents one of the most genuine and deeply personal Just Causes in corporate America [4]. The mission to transform the lives of people living with rare metabolic diseases directly shaped drug target selection, geographic expansion strategy, and the company's patient access programs across 50+ countries. The cause endured through clinical trial failures, financial losses, and leadership changes over 20+ years. Falls short of 3/3 because the company's acceptance of the BioMarin acquisition suggests the cause was ultimately subordinated to financial outcomes, and the mission has not survived the leadership transition test of full independence.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company's rare disease focus attracted mission-driven employees who cite patient impact as a primary motivator, and CEO Bradley Campbell was described as approachable [3][4]. Board governance was strong with 89% independence. However, multiple Glassdoor reviews cite poor leadership communication, lack of transparency around job security and organizational changes, and a disconnect between stated values of innovation and a conservative, change-resistant organizational culture. Average for the industry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Amicus consistently framed its competitive relationship with Sanofi (Fabrazyme/Myozyme) and Takeda (Replagal) through the lens of improving patient outcomes rather than market share destruction, positioning Galafold's oral convenience and Pombiliti's next-generation enzyme as therapeutic advances for patients rather than attacks on competitors' products [1]. Management commentary focused on expanding treatment access to underserved patients globally rather than displacing existing therapies.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Amicus evolved from a small-molecule pharmacological chaperone company (migalastat/Galafold) to add a novel enzyme replacement therapy platform (Pombiliti+Opfolda), demonstrating willingness to expand beyond its original technology base [1]. The company also explored gene therapy as a next-generation platform. These represent meaningful strategic evolution within rare disease rather than a transformative reinvention of the business model. The ultimate sale to BioMarin represents an exit rather than a bold strategic pivot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Amicus invested over $2B in cumulative R&amp;D over its 20+ year history, maintaining heavy spending on the Pompe disease program through years of clinical setbacks and operating losses that tested investor patience [1][4]. The decision to develop a novel cipaglucosidase alfa (Pombiliti) as a next-generation ERT rather than licensing existing technology demonstrated willingness to take the harder, longer-term path. However, the board's decision to accept BioMarin's acquisition at $14.50/share — below the stock's historical highs — suggests financial pragmatism ultimately outweighed long-term independence when profitability was finally within reach.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Amicus Therapeutics was a rare disease-focused biotech generating $634M in FY2025 revenue (+17% YoY) across two commercial products: Galafold ($521.7M, +12% CER) for Fabry disease and Pombiliti+Opfolda ($112.5M, +56% CER) for Pompe disease [1]. The company was approaching a GAAP profitability inflection with non-GAAP net income of $96.8M ($0.31/share) and strengthening unit economics as the Pombiliti+Opfolda launch scaled. The patient-first mission rooted in founder John Crowley's personal story, strong Inspire Impact Score of 48 (ALIGNED), and rare disease positioning — where unmet medical need is high and competitive dynamics favor specialty players — supported a constructive fundamental thesis.</w:t>
      </w:r>
    </w:p>
    <w:p>
      <w:pPr>
        <w:spacing w:after="120"/>
      </w:pPr>
      <w:r>
        <w:rPr>
          <w:rFonts w:ascii="Calibri" w:hAnsi="Calibri"/>
          <w:b w:val="0"/>
          <w:color w:val="3A4A28"/>
          <w:sz w:val="20"/>
        </w:rPr>
        <w:t>BioMarin's acquisition for $14.50/share ($4.8B) closed April 27, 2026, ending FOLD's independent trading life [2]. The deal valued Amicus at roughly 7.6x trailing revenue, reasonable for a rare disease biotech approaching profitability but below multiples commanded by faster-growing peers. Key risks at time of sale included concentrated revenue in two products serving small patient populations (~10,000-15,000 patients each globally), ongoing competition from Sanofi's established Fabrazyme franchise, and the capital-intensive nature of rare disease commercial infrastructure that limited near-term margin expansion. The GAAP net loss of $27M despite $634M revenue reflected continued investment in geographic expansion and gene therapy pipeline. The FOLD ticker is no longer tradeable — this report reflects the company's fundamentals at its final standalone reporting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BioMarin acquisition closed at $14.50/share ($4.8B), delivering a ~30% premium to pre-announcement trading price and 46% premium to the 30-day VWAP, validating the rare disease franchise value [2]</w:t>
      </w:r>
    </w:p>
    <w:p>
      <w:pPr>
        <w:spacing w:before="40" w:after="40"/>
        <w:ind w:left="283"/>
      </w:pPr>
      <w:r>
        <w:rPr>
          <w:rFonts w:ascii="Calibri" w:hAnsi="Calibri"/>
          <w:b/>
          <w:color w:val="4A6B25"/>
          <w:sz w:val="20"/>
        </w:rPr>
        <w:t xml:space="preserve">2. </w:t>
      </w:r>
      <w:r>
        <w:rPr>
          <w:rFonts w:ascii="Calibri" w:hAnsi="Calibri"/>
          <w:b w:val="0"/>
          <w:color w:val="3A4A28"/>
          <w:sz w:val="20"/>
        </w:rPr>
        <w:t>Pombiliti+Opfolda revenue growing 56% YoY at CER to $112.5M in FY2025, with continued global launch momentum providing a multi-year growth runway within BioMarin's commercial infrastructure [1]</w:t>
      </w:r>
    </w:p>
    <w:p>
      <w:pPr>
        <w:spacing w:before="40" w:after="40"/>
        <w:ind w:left="283"/>
      </w:pPr>
      <w:r>
        <w:rPr>
          <w:rFonts w:ascii="Calibri" w:hAnsi="Calibri"/>
          <w:b/>
          <w:color w:val="4A6B25"/>
          <w:sz w:val="20"/>
        </w:rPr>
        <w:t xml:space="preserve">3. </w:t>
      </w:r>
      <w:r>
        <w:rPr>
          <w:rFonts w:ascii="Calibri" w:hAnsi="Calibri"/>
          <w:b w:val="0"/>
          <w:color w:val="3A4A28"/>
          <w:sz w:val="20"/>
        </w:rPr>
        <w:t>Approaching GAAP profitability inflection with non-GAAP net income of $96.8M in FY2025, demonstrating the underlying business model was reaching self-sustaining economics before the acquisition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FOLD is delisted following BioMarin's acquisition closure in April 2026 — investors can no longer buy or sell shares independently, and the investment thesis is now embedded within BioMarin (BMRN) [2]</w:t>
      </w:r>
    </w:p>
    <w:p>
      <w:pPr>
        <w:spacing w:before="40" w:after="40"/>
        <w:ind w:left="283"/>
      </w:pPr>
      <w:r>
        <w:rPr>
          <w:rFonts w:ascii="Calibri" w:hAnsi="Calibri"/>
          <w:b/>
          <w:color w:val="4A6B25"/>
          <w:sz w:val="20"/>
        </w:rPr>
        <w:t xml:space="preserve">2. </w:t>
      </w:r>
      <w:r>
        <w:rPr>
          <w:rFonts w:ascii="Calibri" w:hAnsi="Calibri"/>
          <w:b w:val="0"/>
          <w:color w:val="3A4A28"/>
          <w:sz w:val="20"/>
        </w:rPr>
        <w:t>Concentrated revenue in two products serving rare disease populations of ~10,000-15,000 patients each globally limits total addressable market and creates outsized clinical/regulatory event risk per product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Sanofi's Fabrazyme/Myozyme franchise and emerging gene therapy approaches for Fabry and Pompe diseases could erode market share for chaperone and ERT-based therapies over the medium term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Amicus's core business — manufacturing and distributing FDA-approved biologic therapies for rare genetic diseases — is structurally immune to AI disruption [1]. Enzyme replacement therapies require complex biologics manufacturing, multi-year clinical trials with small patient populations, and regulatory approvals that AI cannot substitute. Rare disease drug development depends on deep patient phenotyping, genetic testing, and specialized physician relationships that create durable competitive moats. The highly regulated nature of pharmaceutical manufacturing and distribution provides additional structural protection. AI may modestly accelerate clinical trial design for competitors, but this represents an incremental efficiency gain rather than a substitution threat to existing approved therapies. AI Opportunity (0/1): No evidence of AI-generated revenue or AI-powered commercial products; the company's R&amp;D and commercial operations followed traditional pharmaceutical approaches without quantifiable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Amicus Therapeutics Q4 &amp; Full Year 2025 Earnings Release — Revenue $634.2M (+17% CER), Galafold $521.7M, Pombiliti+Opfolda $112.5M, Non-GAAP Net Income $96.8M, SEC Form 8-K, February 2026</w:t>
      </w:r>
    </w:p>
    <w:p>
      <w:pPr>
        <w:spacing w:before="20" w:after="20"/>
        <w:ind w:left="170"/>
      </w:pPr>
      <w:r>
        <w:rPr>
          <w:rFonts w:ascii="Calibri" w:hAnsi="Calibri"/>
          <w:b/>
          <w:color w:val="4A6B25"/>
          <w:sz w:val="15"/>
        </w:rPr>
        <w:t xml:space="preserve">2. </w:t>
      </w:r>
      <w:r>
        <w:rPr>
          <w:rFonts w:ascii="Calibri" w:hAnsi="Calibri"/>
          <w:b w:val="0"/>
          <w:color w:val="3A4A28"/>
          <w:sz w:val="17"/>
        </w:rPr>
        <w:t>BioMarin to Acquire Amicus Therapeutics for $4.8B ($14.50/share) — Deal Announced December 2025, Closed April 27, 2026, FOLD Delisted — RARE Daily / Global Genes, December 2025</w:t>
      </w:r>
    </w:p>
    <w:p>
      <w:pPr>
        <w:spacing w:before="20" w:after="20"/>
        <w:ind w:left="170"/>
      </w:pPr>
      <w:r>
        <w:rPr>
          <w:rFonts w:ascii="Calibri" w:hAnsi="Calibri"/>
          <w:b/>
          <w:color w:val="4A6B25"/>
          <w:sz w:val="15"/>
        </w:rPr>
        <w:t xml:space="preserve">3. </w:t>
      </w:r>
      <w:r>
        <w:rPr>
          <w:rFonts w:ascii="Calibri" w:hAnsi="Calibri"/>
          <w:b w:val="0"/>
          <w:color w:val="3A4A28"/>
          <w:sz w:val="17"/>
        </w:rPr>
        <w:t>Amicus Therapeutics Glassdoor Reviews — Employee Culture, Leadership Communication, CEO Bradley Campbell, accessed 2026</w:t>
      </w:r>
    </w:p>
    <w:p>
      <w:pPr>
        <w:spacing w:before="20" w:after="20"/>
        <w:ind w:left="170"/>
      </w:pPr>
      <w:r>
        <w:rPr>
          <w:rFonts w:ascii="Calibri" w:hAnsi="Calibri"/>
          <w:b/>
          <w:color w:val="4A6B25"/>
          <w:sz w:val="15"/>
        </w:rPr>
        <w:t xml:space="preserve">4. </w:t>
      </w:r>
      <w:r>
        <w:rPr>
          <w:rFonts w:ascii="Calibri" w:hAnsi="Calibri"/>
          <w:b w:val="0"/>
          <w:color w:val="3A4A28"/>
          <w:sz w:val="17"/>
        </w:rPr>
        <w:t>Amicus Therapeutics 2024 ESG Report and Corporate Website — Healing Beyond Disease Initiative, Mission Statement, Patient Access Programs, amicusrx.com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