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FRO</w:t>
      </w:r>
      <w:r>
        <w:rPr>
          <w:rFonts w:ascii="Calibri" w:hAnsi="Calibri"/>
          <w:b/>
          <w:color w:val="1A2010"/>
          <w:sz w:val="40"/>
        </w:rPr>
        <w:t xml:space="preserve">  Frontline plc</w:t>
      </w:r>
    </w:p>
    <w:p>
      <w:pPr>
        <w:spacing w:after="120"/>
      </w:pPr>
      <w:r>
        <w:rPr>
          <w:rFonts w:ascii="Calibri" w:hAnsi="Calibri"/>
          <w:b/>
          <w:color w:val="6E8450"/>
          <w:sz w:val="18"/>
        </w:rPr>
        <w:t>DIVIDEND SLEEVE · 2026-08-31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Cyprus</w:t>
      </w:r>
    </w:p>
    <w:p>
      <w:pPr>
        <w:spacing w:after="80"/>
      </w:pPr>
      <w:r>
        <w:rPr>
          <w:rFonts w:ascii="Calibri" w:hAnsi="Calibri"/>
          <w:b w:val="0"/>
          <w:color w:val="3A4A28"/>
          <w:sz w:val="20"/>
        </w:rPr>
        <w:t>Frontline plc is the world's largest listed pure-play crude oil tanker company, operating a fleet of 81 VLCCs, Suezmax, and LR2/Aframax tankers for international seaborne oil transportation. Q2 2026 was the best quarter in company history — record net income of $659M on $943.3M revenue (+96.5% YoY) driven by VLCC rates of $152,700/day and geopolitical trade route disruptions. Controlled by John Fredriksen (36% ownership), based in Limassol, Cyprus. Fleet doubled via the 2023 Euronav acquisition.</w:t>
      </w:r>
    </w:p>
    <w:p>
      <w:r>
        <w:rPr>
          <w:rFonts w:ascii="Calibri" w:hAnsi="Calibri"/>
          <w:b/>
          <w:color w:val="6E8450"/>
          <w:sz w:val="18"/>
        </w:rPr>
        <w:t>100 Employees · https://www.frontlineplc.cy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Frontline completed the transformative Euronav acquisition in 2023, approximately doubling its VLCC fleet and creating the world's fourth-largest tanker company by capacity [1]. This was a well-timed counter-cyclical fleet expansion, but the core business model — owning and chartering oil tankers — has not changed in decades. AI Deployment (0/2): Frontline references using 'digital tools and analytics to optimize fleet operations' but no specific AI-powered products, quantified cost savings, or AI-driven revenue contributions have been disclosed [2]. Market Share (1/2): Fourth-largest oil tanker company globally with a significant fleet of VLCCs and Suezmax vessels, but not the market leader and no specific market share percentage data cited [1]. Product Pipeline (0/2): No next-generation product development or pipeline visibility — the company manages a fleet of commodity tanker vessels with standard maritime technology. Future plans center on fleet renewal rather than product innovation. R&amp;D Intensity (0/1): Tanker shipping companies have minimal R&amp;D expenditure; innovation occurs at the shipyard level, not at the operator level.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was found on Frontline's corporate website or public materials beyond standard corporate language about shareholder returns and fleet management [3]. The company exists to profit from transporting crude oil via tankers — there is no articulated purpose beyond commercial activity. Community Impact (0/2): Frontline has joined industry associations including the Maritime Anti-Corruption Network (MACN), Clean Shipping Alliance, and Intertanko, but these represent standard industry participation rather than distinctive community investment [3]. No charitable programs, foundation, or specific dollar amounts for community giving were identified. Employee Retention (0/2): With approximately 100 corporate employees (plus contracted seafarers), no specific retention data, tenure information, or cultural evidence was found. Insider Buying (1/2): CEO Robert Macleod purchased $392K worth of shares at approximately $7.85 per share, demonstrating personal financial commitment at depressed prices [4]. However, controlling shareholder John Fredriksen's circle has been trimming positions while the company prepares potential share issuance, creating mixed signals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was the best quarter in Frontline's history — record net income of $659M ($2.61 adjusted EPS) on $943.3M revenue (+96.5% YoY), driven by VLCC rates averaging $152,700/day amid geopolitical trade route disruptions [1]. ROE of 35.01% far exceeds the 15% target, and TTM profit margin has surged to 40.19% (well above the 20% target) [5]. Forward P/E of 6.44 is exceptionally cheap, reflecting market skepticism about earnings sustainability. D/E of 93% is above the 70% target but manageable for a capital-intensive shipping business. Revenue growth has reversed sharply — H1 2026 revenue of $1.66B represents ~82% growth over H1 2025, and 5-year revenue CAGR of approximately 15% reflects the tanker super-cycle [1]. Dividend payout ratio of approximately 100% based on variable payout policy (Q1 declared $1.55/share on $1.55 adjusted EPS), and 5-year dividend growth CAGR of 44.32% reflects cyclical earnings amplification [6]. Liquidity floor cleared: 2.34M avg volume x $44.40 = $103.9M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Frontline is a quintessential finite game player. The company exists to maximize shareholder returns from cyclical tanker markets through fleet optimization, counter-cyclical acquisitions, and aggressive dividend payouts. There is no articulated purpose beyond profit, no Just Cause connecting the work to something larger, and strategic decisions are driven entirely by tanker rate cycle timing. Under John Fredriksen's controlling ownership, the company excels at the financial game of tanker shipping — but Sinek would not find any infinite game characteristics here.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Frontline has no articulated Just Cause, mission, or purpose beyond profiting from crude oil transportation [3]. The company's strategic decisions — the Euronav acquisition, dividend policy, fleet composition — are driven purely by financial opportunity and cycle timing. There is no vision of a better future, no sense that the company exists for anything beyond its next charter rate. This is a classic finite player optimizing for the current game.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Lars Barstad provides operational leadership stability, and the management team has deep maritime industry experience [2]. The corporate office is lean (~100 employees) which can facilitate trust, and there are no reports of cultural dysfunction or excessive turnover. However, no evidence of exceptional employee empowerment or trust-building practices was found. The company operates with contracted seafarers on its vessels, creating a transactional rather than purpose-driven relationship with the majority of its workforce.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Frontline's competitive approach under Fredriksen has historically been about acquiring competitors (Euronav) and building fleet scale to dominate the tanker market rather than learning from rivals [1]. The company's competitive language focuses on fleet size, market position, and financial engineering rather than self-improvement. The Euronav takeover — executed aggressively despite resistance — reflects a finite mindset of winning through consolidation rather than improving through competition.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Frontline has been an oil tanker company since its founding in 1985 with no meaningful strategic pivot or business model evolution [1]. The Euronav acquisition expanded scale within the same business rather than representing flexibility. The company has explored LNG transport as an adjacency but has not made a transformative move into new energy or transportation segments. In an industry facing long-term structural decline from energy transition, the lack of strategic flexibility is a concern.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counter-cyclical Euronav acquisition in 2023 — buying a rival at depressed tanker valuations — demonstrated willingness to deploy capital when others were retreating, a form of financial courage that has been rewarded by the subsequent tanker rate recovery [1]. CEO Macleod's personal share purchase of $392K at depressed prices shows aligned conviction [4]. However, these decisions are financially motivated rather than purpose-driven, and Fredriksen's parallel position trimming creates mixed signals about long-term commitment.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Frontline just posted the best quarter in company history — Q2 2026 record net income of $659M ($2.61 adjusted EPS, beating the $2.60 estimate) on $943.3M revenue (+96.5% YoY, beating the $760.6M estimate), driven by VLCC rates averaging $152,700/day, Suezmax rates at $111,400/day, and LR2/Aframax rates at $92,400/day [1]. Average weighted earnings across all tankers reached $80,871/day — nearly double previous peak years (2008, 2020, 2022). At $44.40 the stock trades at just 6.44x forward earnings with TTM ROE of 35% and profit margin of 40.19% [5]. The Euronav acquisition doubled the fleet at cyclically depressed prices, creating the largest listed pure-play crude tanker company with 81 vessels perfectly positioned for the geopolitical-driven super-cycle. CEO Lars Barstad described 'a market with no playbook' where ship-to-ship transfers and extended route disruptions have tripled certain trip distances, structurally tightening supply.</w:t>
      </w:r>
    </w:p>
    <w:p>
      <w:pPr>
        <w:spacing w:after="120"/>
      </w:pPr>
      <w:r>
        <w:rPr>
          <w:rFonts w:ascii="Calibri" w:hAnsi="Calibri"/>
          <w:b w:val="0"/>
          <w:color w:val="3A4A28"/>
          <w:sz w:val="20"/>
        </w:rPr>
        <w:t>The fundamental bear case is cyclicality: tanker shipping is one of the most volatile industries in global markets, and Frontline's current record earnings are driven by geopolitical disruptions (Middle East tensions, Russia sanctions, rerouted trade flows) that could normalize at any time [1]. CEO Barstad himself frames the market as having 'no playbook,' which cuts both ways — unprecedented conditions can reverse without warning. The ~100% dividend payout ratio means dividends are entirely tied to spot market conditions and will collapse when rates normalize [6]. D/E of 93% on a fleet of depreciating physical assets creates leverage risk in a downturn. The company has no strategic moat, no innovation, and no purpose beyond cycle-timing — it scores 1/10 on Inspiration and 2/10 on Innovation because there is genuinely nothing innovative or inspiring about owning oil tankers. Nine ECO VLCC newbuildings on order for 2026-2027 delivery add capex risk [2]. Energy transition represents a multi-decade structural headwind as global oil demand eventually peaks.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Tanker super-cycle momentum — Q2 2026 average weighted earnings of $80,871/day are nearly double previous peak years, and geopolitical disruptions (tripled trip distances from rerouting) show no signs of normalizing near-term [1]</w:t>
      </w:r>
    </w:p>
    <w:p>
      <w:pPr>
        <w:spacing w:before="40" w:after="40"/>
        <w:ind w:left="283"/>
      </w:pPr>
      <w:r>
        <w:rPr>
          <w:rFonts w:ascii="Calibri" w:hAnsi="Calibri"/>
          <w:b/>
          <w:color w:val="4A6B25"/>
          <w:sz w:val="20"/>
        </w:rPr>
        <w:t xml:space="preserve">2. </w:t>
      </w:r>
      <w:r>
        <w:rPr>
          <w:rFonts w:ascii="Calibri" w:hAnsi="Calibri"/>
          <w:b w:val="0"/>
          <w:color w:val="3A4A28"/>
          <w:sz w:val="20"/>
        </w:rPr>
        <w:t>Nine ECO VLCC newbuildings with scrubbers on order for 2026-2027 delivery will modernize the fleet and improve cost efficiency per voyage at a time of peak charter rates [2]</w:t>
      </w:r>
    </w:p>
    <w:p>
      <w:pPr>
        <w:spacing w:before="40" w:after="40"/>
        <w:ind w:left="283"/>
      </w:pPr>
      <w:r>
        <w:rPr>
          <w:rFonts w:ascii="Calibri" w:hAnsi="Calibri"/>
          <w:b/>
          <w:color w:val="4A6B25"/>
          <w:sz w:val="20"/>
        </w:rPr>
        <w:t xml:space="preserve">3. </w:t>
      </w:r>
      <w:r>
        <w:rPr>
          <w:rFonts w:ascii="Calibri" w:hAnsi="Calibri"/>
          <w:b w:val="0"/>
          <w:color w:val="3A4A28"/>
          <w:sz w:val="20"/>
        </w:rPr>
        <w:t>Potential fleet scrappage acceleration as aging global tanker fleet faces tightening IMO CII environmental regulations, structurally tightening supply while Frontline operates one of the youngest and most efficient VLCC fleets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Tanker rates are extremely cyclical — geopolitical normalization (Middle East ceasefire, Russia sanctions easing) could collapse charter rates and dividends from current historically elevated levels overnight</w:t>
      </w:r>
    </w:p>
    <w:p>
      <w:pPr>
        <w:spacing w:before="40" w:after="40"/>
        <w:ind w:left="283"/>
      </w:pPr>
      <w:r>
        <w:rPr>
          <w:rFonts w:ascii="Calibri" w:hAnsi="Calibri"/>
          <w:b/>
          <w:color w:val="4A6B25"/>
          <w:sz w:val="20"/>
        </w:rPr>
        <w:t xml:space="preserve">2. </w:t>
      </w:r>
      <w:r>
        <w:rPr>
          <w:rFonts w:ascii="Calibri" w:hAnsi="Calibri"/>
          <w:b w:val="0"/>
          <w:color w:val="3A4A28"/>
          <w:sz w:val="20"/>
        </w:rPr>
        <w:t>No strategic moat, innovation, or purpose — Frontline operates commodity assets in a commodity market where the only differentiator is fleet scale and cost structure, offering zero protection against secular industry decline</w:t>
      </w:r>
    </w:p>
    <w:p>
      <w:pPr>
        <w:spacing w:before="40" w:after="40"/>
        <w:ind w:left="283"/>
      </w:pPr>
      <w:r>
        <w:rPr>
          <w:rFonts w:ascii="Calibri" w:hAnsi="Calibri"/>
          <w:b/>
          <w:color w:val="4A6B25"/>
          <w:sz w:val="20"/>
        </w:rPr>
        <w:t xml:space="preserve">3. </w:t>
      </w:r>
      <w:r>
        <w:rPr>
          <w:rFonts w:ascii="Calibri" w:hAnsi="Calibri"/>
          <w:b w:val="0"/>
          <w:color w:val="3A4A28"/>
          <w:sz w:val="20"/>
        </w:rPr>
        <w:t>Energy transition creating multi-decade structural headwind as global crude oil demand approaches peak, with no evidence that Frontline is building capabilities in alternative energy transportation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Frontline's core business — physically transporting crude oil across oceans in tanker vessels — is structurally immune to AI disruption. You cannot digitize the movement of 2 million barrels of crude oil from the Arabian Gulf to Asia [1]. The business requires massive physical assets (VLCCs costing $100M+ each), decades of maritime expertise, strict international maritime regulations (IMO, flag state requirements), and global port relationships that AI cannot replicate or substitute. AI is more likely to increase energy demand (powering data centers) than reduce oil transport needs. The only theoretical AI impact is autonomous vessel technology, but regulatory, insurance, and safety barriers place this decades away from commercial deployment. AI Opportunity (0/1): Frontline references digital tools for fleet optimization but has not reported any specific AI-driven revenue, cost savings, or AI products [2]. Route optimization using analytics is standard industry practice rather than differentiated AI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Frontline Q1 &amp; Q2 2026 Earnings — Q2 Record Net Income $659M, Revenue $943.3M (+96.5% YoY), VLCC Rates $152,700/day, Benzinga/Yahoo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Frontline Fleet Strategy and ESG — 81 Vessels, 9 ECO VLCC Newbuildings, Scrubbers on 46 Vessels, IMO Compliance, frontlineplc.cy ESG Report 2025</w:t>
      </w:r>
    </w:p>
    <w:p>
      <w:pPr>
        <w:spacing w:before="20" w:after="20"/>
        <w:ind w:left="170"/>
      </w:pPr>
      <w:r>
        <w:rPr>
          <w:rFonts w:ascii="Calibri" w:hAnsi="Calibri"/>
          <w:b/>
          <w:color w:val="4A6B25"/>
          <w:sz w:val="15"/>
        </w:rPr>
        <w:t xml:space="preserve">3. </w:t>
      </w:r>
      <w:r>
        <w:rPr>
          <w:rFonts w:ascii="Calibri" w:hAnsi="Calibri"/>
          <w:b w:val="0"/>
          <w:color w:val="3A4A28"/>
          <w:sz w:val="17"/>
        </w:rPr>
        <w:t>Frontline Corporate Overview and Mission — frontlineplc.cy, Seeking Alpha, 2025-2026</w:t>
      </w:r>
    </w:p>
    <w:p>
      <w:pPr>
        <w:spacing w:before="20" w:after="20"/>
        <w:ind w:left="170"/>
      </w:pPr>
      <w:r>
        <w:rPr>
          <w:rFonts w:ascii="Calibri" w:hAnsi="Calibri"/>
          <w:b/>
          <w:color w:val="4A6B25"/>
          <w:sz w:val="15"/>
        </w:rPr>
        <w:t xml:space="preserve">4. </w:t>
      </w:r>
      <w:r>
        <w:rPr>
          <w:rFonts w:ascii="Calibri" w:hAnsi="Calibri"/>
          <w:b w:val="0"/>
          <w:color w:val="3A4A28"/>
          <w:sz w:val="17"/>
        </w:rPr>
        <w:t>Frontline Insider Transaction Activity — Simply Wall St, Nasdaq, ainvest.com,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FRO Key Statistics: Forward P/E 6.44, ROE 35.01%, Profit Margin 40.19%, Stock Price ~$44.40,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Frontline Dividend History — Yield 4.34%, 5yr Div Growth CAGR 44.32%, Variable Payout Policy, StockAnalysis/Macrotrends,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