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FSBC</w:t>
      </w:r>
      <w:r>
        <w:rPr>
          <w:rFonts w:ascii="Calibri" w:hAnsi="Calibri"/>
          <w:b/>
          <w:color w:val="1A2010"/>
          <w:sz w:val="40"/>
        </w:rPr>
        <w:t xml:space="preserve">  Five Star Bancorp</w:t>
      </w:r>
    </w:p>
    <w:p>
      <w:pPr>
        <w:spacing w:after="120"/>
      </w:pPr>
      <w:r>
        <w:rPr>
          <w:rFonts w:ascii="Calibri" w:hAnsi="Calibri"/>
          <w:b/>
          <w:color w:val="6E8450"/>
          <w:sz w:val="18"/>
        </w:rPr>
        <w:t>DIVIDEND SLEEVE · 2026-09-16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Five Star Bancorp is a bank holding company for Five Star Bank, a California state-chartered commercial bank providing relationship-driven banking services to small and medium-sized businesses, professionals, and individuals. Headquartered in Rancho Cordova, CA with offices across Sacramento, San Francisco, and Palo Alto. The bank IPO'd on NASDAQ in May 2021 and has since grown total assets from approximately $2.5B to over $5B. Q2 2026 net income reached $19.4M with loans held for investment of $4.52B, up 20.27% year-over-year [1].</w:t>
      </w:r>
    </w:p>
    <w:p>
      <w:r>
        <w:rPr>
          <w:rFonts w:ascii="Calibri" w:hAnsi="Calibri"/>
          <w:b/>
          <w:color w:val="6E8450"/>
          <w:sz w:val="18"/>
        </w:rPr>
        <w:t>500 Employees · https://www.fivestarbank.com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Five Star Bancorp's primary strategic achievement in the past 5 years was the May 2021 IPO on NASDAQ, which provided growth capital for geographic expansion beyond Sacramento into the San Francisco Bay Area and Palo Alto [1]. While the IPO and subsequent asset doubling from ~$2.5B to $5B represents significant growth execution, this is an incremental extension of the same community banking model into new geographies rather than a product pivot or business model transformation. AI Deployment (0/2): No evidence of AI-powered products, services, or quantified internal AI-driven cost savings. Five Star Bank operates a traditional relationship banking model without disclosed AI initiatives. Market Share (0/2): Five Star Bank is a micro-cap community bank ($836M market cap) competing against much larger regional and national banks in California. Not a category leader or fastest share gainer. Product Pipeline (1/2): The bank added four experienced bankers led by industry veterans Derrick Yee and Andrew Liou to expand its Palo Alto presence, targeting the Bay Area tech and innovation ecosystem [3]. Management guides for 10-12% balance sheet growth in 2026 [1]. General growth activity with strategic intent but vague timelines. R&amp;D Intensity (0/1): Not applicable to community banking — banks do not report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James Beckwith states: 'Our culture is fundamental to who we are and how we serve, while shaping the way we support our employees, collaborate as a team, and deliver for our clients and communities' [2]. This articulates what the company does and for whom but does not describe a transformative vision or deeper purpose beyond excellence in community banking. Clear but not distinctive. Community Impact (1/2): CEO Beckwith has extensive personal community leadership — Sacramento Metro Chamber Businessman of the Year (2020), Sacramento Business Journal Most Admired CEO (2020), Vistage Leadership Award (2021), UCP Humanitarian of the Year (2022) [2]. Five Star Bank has published ESG commitments with environmental sustainability efforts and community partnerships [4]. General corporate philanthropy and CEO personal involvement, but no specific dollar amounts or distinctive programs cited. Employee Retention (1/2): Five Star Bank earned the #1 ranking in San Francisco Business Times' Best Places to Work among businesses with 25-49 employees in the Bay Area, based on employee votes [2]. 'Teamwork is at the center of Five Star Bank's workplace culture,' and CEO Beckwith has led since 2003 (23-year tenure), creating organizational stability. Evidence of employee satisfaction, though the ranking applies to a small Bay Area office. Insider Buying (1/2): Director Kevin Ramos purchased 5,682 shares at $44.00 per share ($250K) on July 22, 2026 [5]. However, two selling transactions occurred in the prior three months, creating a roughly balanced insider activity profile.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FSBC demonstrates exceptional financial strength across most dimensions. ROE of 16.17% exceeds the 15% target, reflecting efficient capital deployment for a community bank [1]. Revenue growth is outstanding at 27.6% YoY with approximately 13.5% 5-year CAGR, both exceeding the 10% target [1][6]. Forward P/E of 12.16x is well below the 20x target, indicating value pricing. Net margin of 42.96% far exceeds the 20% target. Payout ratio of 26.63% is well below the 40% target, providing ample earnings retention for growth. D/E is excluded (null from yfinance for bank holding companies). The primary weakness is dividend history: only 5 consecutive years of payments (since the 2021 IPO), below the 10-year target, and only 1 consecutive year of growth after increasing the quarterly dividend from $0.20 to $0.25 in Q1 2026 [1]. Five-year dividend growth CAGR of approximately 4.6% is below the 6% target. Liquidity floor cleared: 183K avg vol x $45.55 = $8.3M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Five Star Bancorp exhibits strong infinite-game characteristics under CEO James Beckwith's 23-year leadership tenure — one of the longest CEO tenures in community banking. The employee-voted #1 Best Place to Work ranking, community-centered culture, and consistent strategic vision across two decades demonstrate a company built to endure rather than optimize for quarterly earnings. However, the rapid balance sheet growth (20%+ YoY) and aggressive geographic expansion carry execution risk, and the just-completed IPO (2021) introduces short-term public market pressures that can conflict with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Five Star Bank's community-centered banking purpose — supporting employees, clients, and communities through relationship-driven service — has been genuinely lived under CEO Beckwith's 23-year leadership [2]. Strategic decisions trace back to this purpose: the Bay Area expansion targeted underserved small businesses and tech professionals who need relationship banking, not just rate shopping. The #1 Best Place to Work recognition validates that the culture is real, not just marketing. However, the purpose hasn't been tested through the kind of existential crisis that separates true Just Causes from good culture — and 'excellent community banking' does not articulate a vision of a future state so compelling that people would sacrifice to advance it.</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Five Star Bank earned the #1 ranking in San Francisco Business Times' Best Places to Work based on employee votes, with the description that 'teamwork is at the center of Five Star Bank's workplace culture' and leadership investing in staff success [2]. CEO Beckwith's 23-year tenure at the helm provides exceptional leadership continuity and organizational stability. The bank recruited experienced bankers like Derrick Yee and Andrew Liou who voluntarily left larger institutions to join Five Star, suggesting the culture attracts talent [3]. This evidence demonstrates high-trust organizational dynamics where employees feel valued.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By deliberately expanding into Palo Alto and San Francisco — markets dominated by SVB's successor banks, First Republic's acquirer JPMorgan Chase, and major national banks — Five Star Bank demonstrates competitive self-awareness and willingness to learn from rivals' strengths [3]. The strategic approach of hiring experienced bankers from larger competitors to serve the innovation ecosystem reflects learning from rivals' client relationships rather than trying to destroy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Five Star Bank's evolution from a Sacramento community bank to a Bay Area tech banking platform — culminating in the 2021 IPO and geographic expansion — represents meaningful business evolution. The bank is entering adjacent markets and serving new client segments (tech professionals, innovation companies) that require different capabilities than traditional Sacramento commercial banking [1][3]. However, the core business model remains unchanged: relationship-based commercial banking with deposit-taking and lending.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Management's decision to raise capital alongside Q2 2026 results — despite knowing the market would react negatively to dilution — demonstrates willingness to sacrifice near-term stock price for long-term balance sheet strength and growth capacity [1]. The 10-12% balance sheet growth target for 2026 requires ongoing investment that compresses near-term returns. CEO Beckwith's 23-year commitment to relationship banking through multiple economic cycles (including 2008-2009 and 2020) shows long-term orientation over quarterly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Five Star Bancorp offers compelling growth-at-a-reasonable-price for community banking investors. Q2 2026 delivered $19.4M net income (+33.8% YoY EPS growth) with ROAE of 16.67% and revenue growth of 26.21% — exceptional metrics for a bank trading at just 13.6x forward earnings with a PEG ratio of 0.34 [1][6]. The conservative D/E of 19% and 35.4% payout ratio provide balance sheet safety. CEO Beckwith's 23-year leadership tenure, #1 Best Place to Work ranking, and Inspire Insight ALIGNED score (54) align with IOWN's quality and values criteria [2]. The Bay Area expansion into tech banking positions FSBC in high-growth California markets with strong demographics. Management's 10-12% balance sheet growth guidance suggests the rapid expansion trajectory will continue. The recent dividend increase to $0.25/quarter signals management confidence in earnings sustainability [1].</w:t>
      </w:r>
    </w:p>
    <w:p>
      <w:pPr>
        <w:spacing w:after="120"/>
      </w:pPr>
      <w:r>
        <w:rPr>
          <w:rFonts w:ascii="Calibri" w:hAnsi="Calibri"/>
          <w:b w:val="0"/>
          <w:color w:val="3A4A28"/>
          <w:sz w:val="20"/>
        </w:rPr>
        <w:t>The bear case centers on concentration risk and growth sustainability. FSBC is a California-only community bank with $5B in assets — a single-state concentration that exposes it to California commercial real estate weakness, regulatory changes, or regional economic downturns [1]. Loans held for investment grew 20.27% YoY, a pace that raises questions about credit underwriting discipline during rapid expansion. Non-performing loans are rising, challenging the bullish credit narrative. The stock fell on the Q2 2026 capital raise despite strong operating results, suggesting the market is pricing dilution risk from ongoing growth-fueled equity issuances. At 2.03% dividend yield with only 5 years of payment history and 1 year of growth, the dividend profile is immature relative to established dividend payers. Innovation and Inspiration scores are structurally low because the IOWN framework rewards technology-driven innovation and transformative mission — areas where community banks inherently score below tech companies — which depresses the overall score below what the bank's financial metrics alone would suggest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20%+ loan growth with stable credit quality would validate the Bay Area expansion strategy and support EPS growth toward the $3.64 analyst estimate for 2026 [1]</w:t>
      </w:r>
    </w:p>
    <w:p>
      <w:pPr>
        <w:spacing w:before="40" w:after="40"/>
        <w:ind w:left="283"/>
      </w:pPr>
      <w:r>
        <w:rPr>
          <w:rFonts w:ascii="Calibri" w:hAnsi="Calibri"/>
          <w:b/>
          <w:color w:val="4A6B25"/>
          <w:sz w:val="20"/>
        </w:rPr>
        <w:t xml:space="preserve">2. </w:t>
      </w:r>
      <w:r>
        <w:rPr>
          <w:rFonts w:ascii="Calibri" w:hAnsi="Calibri"/>
          <w:b w:val="0"/>
          <w:color w:val="3A4A28"/>
          <w:sz w:val="20"/>
        </w:rPr>
        <w:t>Additional dividend increases from the new $0.25/quarter base, building toward a more mature dividend growth track record that could attract income-oriented investors [1]</w:t>
      </w:r>
    </w:p>
    <w:p>
      <w:pPr>
        <w:spacing w:before="40" w:after="40"/>
        <w:ind w:left="283"/>
      </w:pPr>
      <w:r>
        <w:rPr>
          <w:rFonts w:ascii="Calibri" w:hAnsi="Calibri"/>
          <w:b/>
          <w:color w:val="4A6B25"/>
          <w:sz w:val="20"/>
        </w:rPr>
        <w:t xml:space="preserve">3. </w:t>
      </w:r>
      <w:r>
        <w:rPr>
          <w:rFonts w:ascii="Calibri" w:hAnsi="Calibri"/>
          <w:b w:val="0"/>
          <w:color w:val="3A4A28"/>
          <w:sz w:val="20"/>
        </w:rPr>
        <w:t>Palo Alto office ramping with experienced bankers serving the tech innovation ecosystem, creating a differentiated community banking franchise in one of the wealthiest zip codes in America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California commercial real estate concentration risk — a downturn in Sacramento or Bay Area CRE markets could drive non-performing loan increases that compress earnings and capital ratios, particularly given the 20%+ annual loan growth pace [1]</w:t>
      </w:r>
    </w:p>
    <w:p>
      <w:pPr>
        <w:spacing w:before="40" w:after="40"/>
        <w:ind w:left="283"/>
      </w:pPr>
      <w:r>
        <w:rPr>
          <w:rFonts w:ascii="Calibri" w:hAnsi="Calibri"/>
          <w:b/>
          <w:color w:val="4A6B25"/>
          <w:sz w:val="20"/>
        </w:rPr>
        <w:t xml:space="preserve">2. </w:t>
      </w:r>
      <w:r>
        <w:rPr>
          <w:rFonts w:ascii="Calibri" w:hAnsi="Calibri"/>
          <w:b w:val="0"/>
          <w:color w:val="3A4A28"/>
          <w:sz w:val="20"/>
        </w:rPr>
        <w:t>Growth-driven dilution — the Q2 2026 capital raise signals management may need additional equity to support rapid balance sheet expansion, diluting existing shareholders and limiting stock price appreciation [1]</w:t>
      </w:r>
    </w:p>
    <w:p>
      <w:pPr>
        <w:spacing w:before="40" w:after="40"/>
        <w:ind w:left="283"/>
      </w:pPr>
      <w:r>
        <w:rPr>
          <w:rFonts w:ascii="Calibri" w:hAnsi="Calibri"/>
          <w:b/>
          <w:color w:val="4A6B25"/>
          <w:sz w:val="20"/>
        </w:rPr>
        <w:t xml:space="preserve">3. </w:t>
      </w:r>
      <w:r>
        <w:rPr>
          <w:rFonts w:ascii="Calibri" w:hAnsi="Calibri"/>
          <w:b w:val="0"/>
          <w:color w:val="3A4A28"/>
          <w:sz w:val="20"/>
        </w:rPr>
        <w:t>Credit quality deterioration — non-performing loans are rising, and the aggressive 20%+ loan growth pace during a period of economic uncertainty raises questions about underwriting discipline in new markets where the bank lacks decades of client relationship history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PROTECTED. Community banking's core value proposition — relationship-driven lending, local market knowledge, personalized service for small and medium businesses — is structurally defended against AI disruption. Loan underwriting for small businesses relies on banker judgment about local market conditions, personal character assessment, and relationship history that AI cannot easily replicate [1]. Regulatory requirements in banking (KYC, AML, BSA compliance) create barriers to AI-only competitors. However, fintech lending platforms (SoFi, Upstart) and AI-powered credit analysis tools do represent long-term competitive pressure on commodity lending products. Five Star Bank's focus on relationship banking in the Bay Area tech ecosystem positions it in a niche where personal banker relationships are especially valued. Analysts are not flagging AI as a near-term risk for community banks. AI Opportunity (0/1): No AI revenue. Five Star Bank does not generate revenue from AI-powered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Five Star Bancorp Q2 2026 Earnings Release and Investor Presentation, July 2026</w:t>
      </w:r>
    </w:p>
    <w:p>
      <w:pPr>
        <w:spacing w:before="20" w:after="20"/>
        <w:ind w:left="170"/>
      </w:pPr>
      <w:r>
        <w:rPr>
          <w:rFonts w:ascii="Calibri" w:hAnsi="Calibri"/>
          <w:b/>
          <w:color w:val="4A6B25"/>
          <w:sz w:val="15"/>
        </w:rPr>
        <w:t xml:space="preserve">2. </w:t>
      </w:r>
      <w:r>
        <w:rPr>
          <w:rFonts w:ascii="Calibri" w:hAnsi="Calibri"/>
          <w:b w:val="0"/>
          <w:color w:val="3A4A28"/>
          <w:sz w:val="17"/>
        </w:rPr>
        <w:t>Five Star Bank #1 Best Place to Work — San Francisco Business Times, June 2026; CEO James Beckwith Community Awards 2020-2022</w:t>
      </w:r>
    </w:p>
    <w:p>
      <w:pPr>
        <w:spacing w:before="20" w:after="20"/>
        <w:ind w:left="170"/>
      </w:pPr>
      <w:r>
        <w:rPr>
          <w:rFonts w:ascii="Calibri" w:hAnsi="Calibri"/>
          <w:b/>
          <w:color w:val="4A6B25"/>
          <w:sz w:val="15"/>
        </w:rPr>
        <w:t xml:space="preserve">3. </w:t>
      </w:r>
      <w:r>
        <w:rPr>
          <w:rFonts w:ascii="Calibri" w:hAnsi="Calibri"/>
          <w:b w:val="0"/>
          <w:color w:val="3A4A28"/>
          <w:sz w:val="17"/>
        </w:rPr>
        <w:t>Five Star Bancorp Palo Alto Expansion — New Banker Hires and Strategic Growth, 2026</w:t>
      </w:r>
    </w:p>
    <w:p>
      <w:pPr>
        <w:spacing w:before="20" w:after="20"/>
        <w:ind w:left="170"/>
      </w:pPr>
      <w:r>
        <w:rPr>
          <w:rFonts w:ascii="Calibri" w:hAnsi="Calibri"/>
          <w:b/>
          <w:color w:val="4A6B25"/>
          <w:sz w:val="15"/>
        </w:rPr>
        <w:t xml:space="preserve">4. </w:t>
      </w:r>
      <w:r>
        <w:rPr>
          <w:rFonts w:ascii="Calibri" w:hAnsi="Calibri"/>
          <w:b w:val="0"/>
          <w:color w:val="3A4A28"/>
          <w:sz w:val="17"/>
        </w:rPr>
        <w:t>Five Star Bank Environmental, Social &amp; Governance page,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SEC Form 4 — Director Kevin Ramos FSBC Share Purchase, July 22,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FSBC Key Statistics: Stock Price $45.55, Forward P/E 12.16x, ROE 16.17%, Profit Margin 42.96%, Avg Volume 183K,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