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FSCO</w:t>
      </w:r>
      <w:r>
        <w:rPr>
          <w:rFonts w:ascii="Calibri" w:hAnsi="Calibri"/>
          <w:b/>
          <w:color w:val="1A2010"/>
          <w:sz w:val="40"/>
        </w:rPr>
        <w:t xml:space="preserve">  FS Credit Opportunities Corp.</w:t>
      </w:r>
    </w:p>
    <w:p>
      <w:pPr>
        <w:spacing w:after="120"/>
      </w:pPr>
      <w:r>
        <w:rPr>
          <w:rFonts w:ascii="Calibri" w:hAnsi="Calibri"/>
          <w:b/>
          <w:color w:val="6E8450"/>
          <w:sz w:val="18"/>
        </w:rPr>
        <w:t>DIVIDEND SLEEVE · 2026-09-12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FS Credit Opportunities Corp. is a closed-end fixed income fund launched by Franklin Square Capital Partners (now FS Investments) in January 2013 and managed by FS Global Advisor, LLC. The fund invests across public and private global credit markets — secured and unsecured loans, bonds, event-driven credit, special situations, and private capital solutions — seeking premium returns from complexity and illiquidity. The fund holds approximately $2.2 billion in assets under management. The fund generated an estimated NAV total return of 7.2% YTD through August 2026 but market price return of -14.7% YTD through July 2026, reflecting a widening discount to NAV.</w:t>
      </w:r>
    </w:p>
    <w:p>
      <w:r>
        <w:rPr>
          <w:rFonts w:ascii="Calibri" w:hAnsi="Calibri"/>
          <w:b/>
          <w:color w:val="6E8450"/>
          <w:sz w:val="18"/>
        </w:rPr>
        <w:t>https://fsinvestments.com/investments/fsco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As a closed-end credit fund rather than an operating company, FSCO does not launch products or pivot business models; its main strategic evolution has been deepening its focus toward 'event-driven credit, special situations, and private capital solutions' where a complexity/illiquidity return premium exists, a modest but real positioning shift over its 13-year history [1]. AI Deployment (0/2): No FSCO-specific AI tools, underwriting automation, or AI-driven analytics were disclosed in research. Market Share (0/2): Credit CEFs do not compete on market share in a conventional sense, and no comparative data was found. Product Pipeline (0/2): No forward product roadmap exists for a closed-end fund operating within a fixed investment mandate. R&amp;D Intensity (0/1): Not applicable to a fund structure; no R&amp;D spending exists.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FSCO's stated objective is to 'generate total return by investing in non-traditional areas of the public and private credit markets' — standard, interchangeable investment-fund language with no purpose beyond financial return [1]. Community Impact (0/2): No charitable, foundation, or community program evidence was found. Employee Retention (0/2): No tenure, turnover, or culture data exists for the small externally-managed advisory team; CEO Michael C. Forman has led since inception in 2013, providing continuity but limited organizational culture signal [2]. Insider Buying (0/2): No fund-manager insider buying data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most core operating metrics (ROE, revenue growth, Forward P/E) are not meaningful for a closed-end credit fund and are excluded from the calculation. D/E of 47.4% scores well below the 70% target (score 1.0) [3]. Profit margin reported as ~0% scores zero. On dividend metrics, monthly distributions have been maintained without interruption since the fund's 2013 inception (~13 consecutive years paid, clearing the 10-year target with 2x weight), and 5-year dividend growth CAGR of ~4% scores 0.67 with 2x weight. However, payout ratio of ~105% exceeds net investment income (scoring zero), and consecutive years of growth resets to zero after management cut the distribution to $0.0583/month in response to declining interest rates [4]. Liquidity floor cleared: ~1.38M average daily volume at $5.18 yields roughly $7.2M in daily dollar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As a closed-end income fund, FSCO is structurally built to generate returns for shareholders rather than to advance any cause — Sinek would classify this squarely as a finite-game vehicle by design. The distribution cut in 2026, framed by management as a response to falling rates rather than a principled long-term choice, and the active Supreme Court case against Saba Capital (defending against activist shareholder attempts to force open-ending) reflect a defensive posture focused on preserving the current structure rather than advancing a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cause beyond generating investor total return was identified; the fund's own description is purely a financial investment objective with no service-oriented vision of a better future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Externally managed by FS Global Advisor with minimal disclosed organizational culture; CEO Michael Forman has been in place since 2013 inception, providing leadership continuity, but no evidence of internal team culture, psychological safety, or employee empowerment exists for an externally-managed fund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referencing competing credit funds' strengths as a spur for improvement; competitive framing, where it exists, centers on NAV-return comparisons rather than a stated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fund's gradual tilt toward event-driven credit, special situations, and private capital solutions in complex/illiquid segments of the market represents modest adaptation to changing credit market conditions, though it remains within the same core fixed-income mandate it has held since 2013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2026 distribution cut was framed as a rate-driven adjustment rather than a principled sacrifice, and the Supreme Court case against Saba Capital — while asserting legitimate governance principles about the Investment Company Act — reads as defensive corporate protection rather than courage in service of a cause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FS Credit Opportunities Corp offers a high 14.63% distribution yield on a $2.2B portfolio of non-traditional public and private credit, with monthly distributions maintained without interruption since the fund's 2013 inception and YTD NAV total return of 7.2% through August 2026 [1][4]. The fund's differentiated focus on event-driven credit, special situations, and private capital solutions provides exposure to complexity/illiquidity return premiums generally unavailable to retail fixed-income investors, and distributions through 2026 have been described as fully covered by net investment income on a tax basis [4]. D/E of 47.4% reflects moderate leverage, and CEO Michael Forman's tenure since inception provides management continuity.</w:t>
      </w:r>
    </w:p>
    <w:p>
      <w:pPr>
        <w:spacing w:after="120"/>
      </w:pPr>
      <w:r>
        <w:rPr>
          <w:rFonts w:ascii="Calibri" w:hAnsi="Calibri"/>
          <w:b w:val="0"/>
          <w:color w:val="3A4A28"/>
          <w:sz w:val="20"/>
        </w:rPr>
        <w:t>The bear case is structural. FSCO does not fit the IOWN operating-company framework — it has no product innovation, no distinctive mission, and most conventional financial metrics are unavailable for a closed-end fund, which mechanically caps Innovation (1), Inspiration (1), and Infinite Game (1) scores. The payout ratio of ~105% exceeds net investment income, and management has already cut the monthly distribution from $0.0594 to $0.0583 in 2026 in response to declining interest rates [4]. YTD market-price total return of -14.7% versus NAV return of +7.2% signals the fund trades at a widening discount to NAV, consistent with market skepticism about distribution sustainability. The Supreme Court case against Saba Capital (FS Credit Opportunities Corp. v. Saba Capital Master Fund, Ltd., certiorari granted June 2025) introduces governance uncertainty regarding the Investment Company Act and activist shareholder rights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Stabilization of the monthly distribution at $0.0583/share with continued full coverage by net investment income, which could narrow the fund's discount to NAV [4]</w:t>
      </w:r>
    </w:p>
    <w:p>
      <w:pPr>
        <w:spacing w:before="40" w:after="40"/>
        <w:ind w:left="283"/>
      </w:pPr>
      <w:r>
        <w:rPr>
          <w:rFonts w:ascii="Calibri" w:hAnsi="Calibri"/>
          <w:b/>
          <w:color w:val="4A6B25"/>
          <w:sz w:val="20"/>
        </w:rPr>
        <w:t xml:space="preserve">2. </w:t>
      </w:r>
      <w:r>
        <w:rPr>
          <w:rFonts w:ascii="Calibri" w:hAnsi="Calibri"/>
          <w:b w:val="0"/>
          <w:color w:val="3A4A28"/>
          <w:sz w:val="20"/>
        </w:rPr>
        <w:t>A steepening or higher-for-longer rate environment boosting floating-rate credit income and potentially reversing the rate-driven distribution cut [4]</w:t>
      </w:r>
    </w:p>
    <w:p>
      <w:pPr>
        <w:spacing w:before="40" w:after="40"/>
        <w:ind w:left="283"/>
      </w:pPr>
      <w:r>
        <w:rPr>
          <w:rFonts w:ascii="Calibri" w:hAnsi="Calibri"/>
          <w:b/>
          <w:color w:val="4A6B25"/>
          <w:sz w:val="20"/>
        </w:rPr>
        <w:t xml:space="preserve">3. </w:t>
      </w:r>
      <w:r>
        <w:rPr>
          <w:rFonts w:ascii="Calibri" w:hAnsi="Calibri"/>
          <w:b w:val="0"/>
          <w:color w:val="3A4A28"/>
          <w:sz w:val="20"/>
        </w:rPr>
        <w:t>Favorable Supreme Court ruling in FS Credit Opportunities Corp. v. Saba Capital resolving governance uncertainty and protecting the fund's closed-end structure from activist-forced open-ending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~105% exceeds net investment income; a further distribution cut is a real risk given one has already occurred in 2026, and any reduction would compress the yield that is the fund's primary value proposition [4]</w:t>
      </w:r>
    </w:p>
    <w:p>
      <w:pPr>
        <w:spacing w:before="40" w:after="40"/>
        <w:ind w:left="283"/>
      </w:pPr>
      <w:r>
        <w:rPr>
          <w:rFonts w:ascii="Calibri" w:hAnsi="Calibri"/>
          <w:b/>
          <w:color w:val="4A6B25"/>
          <w:sz w:val="20"/>
        </w:rPr>
        <w:t xml:space="preserve">2. </w:t>
      </w:r>
      <w:r>
        <w:rPr>
          <w:rFonts w:ascii="Calibri" w:hAnsi="Calibri"/>
          <w:b w:val="0"/>
          <w:color w:val="3A4A28"/>
          <w:sz w:val="20"/>
        </w:rPr>
        <w:t>YTD 2026 market-price return of -14.7% versus NAV return of +7.2% signals a widening discount and weak investor confidence independent of underlying credit performance</w:t>
      </w:r>
    </w:p>
    <w:p>
      <w:pPr>
        <w:spacing w:before="40" w:after="40"/>
        <w:ind w:left="283"/>
      </w:pPr>
      <w:r>
        <w:rPr>
          <w:rFonts w:ascii="Calibri" w:hAnsi="Calibri"/>
          <w:b/>
          <w:color w:val="4A6B25"/>
          <w:sz w:val="20"/>
        </w:rPr>
        <w:t xml:space="preserve">3. </w:t>
      </w:r>
      <w:r>
        <w:rPr>
          <w:rFonts w:ascii="Calibri" w:hAnsi="Calibri"/>
          <w:b w:val="0"/>
          <w:color w:val="3A4A28"/>
          <w:sz w:val="20"/>
        </w:rPr>
        <w:t>The Supreme Court case against Saba Capital creates material governance uncertainty — an adverse ruling could force structural changes or empower activist campaigns to open-end the fund at potentially unfavorable terms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FSCO's core activity — sourcing, underwriting, and structuring complex private and event-driven credit (mergers, special situations, distressed opportunities) — depends on relationship-driven deal access and judgment-intensive structuring that generic AI tools cannot yet fully replicate, providing structural protection [1]. No FSCO-specific commentary on AI disruption risk was found; broader private credit underwriting is gradually incorporating AI/ML risk analytics, a moderate long-term competitive-erosion risk for smaller managers relative to AI-enabled platforms at larger firms. AI Opportunity (0/1): No FSCO-specific AI product, tool, or revenue contribution was identified in research.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FS Credit Opportunities Corp. — Fund Overview, Strategy, $2.2B AUM, Event-Driven Credit Focus — fsinvestments.com, Morningstar,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FS Credit Opportunities Corp. — CEO Michael C. Forman Profile, Board Governance — fintool.com, StockAnalysis,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GuruFocus, Yahoo Finance — FSCO Key Statistics: PE 6.84, D/E 47.4%, Yield 14.63%, Stock Price $5.18,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FS Credit Opportunities Corp. Distribution Announcements — Monthly $0.0594 reduced to $0.0583, NAV Return +7.2% YTD, Market Price Return -14.7% YTD — PRNewswire, March-September 2026</w:t>
      </w:r>
    </w:p>
    <w:p>
      <w:pPr>
        <w:spacing w:before="20" w:after="20"/>
        <w:ind w:left="170"/>
      </w:pPr>
      <w:r>
        <w:rPr>
          <w:rFonts w:ascii="Calibri" w:hAnsi="Calibri"/>
          <w:b/>
          <w:color w:val="4A6B25"/>
          <w:sz w:val="15"/>
        </w:rPr>
        <w:t xml:space="preserve">5. </w:t>
      </w:r>
      <w:r>
        <w:rPr>
          <w:rFonts w:ascii="Calibri" w:hAnsi="Calibri"/>
          <w:b w:val="0"/>
          <w:color w:val="3A4A28"/>
          <w:sz w:val="17"/>
        </w:rPr>
        <w:t>FS Credit Opportunities Corp. v. Saba Capital Master Fund, Ltd. (24-345) — Supreme Court Certiorari Granted June 30, 2025 — SCOTUSblog, Cornell LII</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