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FSK</w:t>
      </w:r>
      <w:r>
        <w:rPr>
          <w:rFonts w:ascii="Calibri" w:hAnsi="Calibri"/>
          <w:b/>
          <w:color w:val="1A2010"/>
          <w:sz w:val="40"/>
        </w:rPr>
        <w:t xml:space="preserve">  FS KKR Capital Corp.</w:t>
      </w:r>
    </w:p>
    <w:p>
      <w:pPr>
        <w:spacing w:after="120"/>
      </w:pPr>
      <w:r>
        <w:rPr>
          <w:rFonts w:ascii="Calibri" w:hAnsi="Calibri"/>
          <w:b/>
          <w:color w:val="6E8450"/>
          <w:sz w:val="18"/>
        </w:rPr>
        <w:t>DIVIDEND SLEEVE · 2026-08-31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Financials · Asset Management · NYSE · United States</w:t>
      </w:r>
    </w:p>
    <w:p>
      <w:pPr>
        <w:spacing w:after="80"/>
      </w:pPr>
      <w:r>
        <w:rPr>
          <w:rFonts w:ascii="Calibri" w:hAnsi="Calibri"/>
          <w:b w:val="0"/>
          <w:color w:val="3A4A28"/>
          <w:sz w:val="20"/>
        </w:rPr>
        <w:t>FS KKR Capital Corp. is a publicly traded business development company (BDC) managed by FS/KKR Advisor LLC, a partnership between FS Investments and KKR Credit Advisors. The company provides customized credit solutions to private middle-market U.S. companies, with approximately $19B in AUM. Q2 2026 showed modest stabilization: NII of $0.44/share beat guidance (9.6% annualized yield), nonaccruals fell to 7.1% from 8.1%, and net D/E declined to 122% from 131%, but NAV still fell 2.8% to $18.30/share. Faces a securities class action and Moody's junk rating (Ba1).</w:t>
      </w:r>
    </w:p>
    <w:p>
      <w:r>
        <w:rPr>
          <w:rFonts w:ascii="Calibri" w:hAnsi="Calibri"/>
          <w:b/>
          <w:color w:val="6E8450"/>
          <w:sz w:val="18"/>
        </w:rPr>
        <w:t>200 Employees · https://www.fskkrcapitalcorp.com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FSK's core business — lending to middle-market companies — has not changed since the 2018 merger of FS Investment Corp and KKR Capital. The company has made no product launches, business model transformations, or strategic pivots in the past 5 years. The only structural change was the 2021 merger with FS KKR Capital Corp II, which was consolidation rather than innovation [1]. AI Deployment (0/2): No AI-powered products, no quantified AI-driven cost savings, and no AI strategy disclosed. The company's lending decisions rely on traditional credit analysis. Market Share (1/2): FSK is one of the largest publicly traded BDCs by total assets ($12.3B portfolio), making it a meaningful player in the $300B+ BDC market, though not the market leader — that position belongs to Ares Capital (ARCC) [1]. Product Pipeline (0/2): No next-generation products or pipeline. BDCs are financial intermediaries without product roadmaps. The current strategic direction is actually to shrink — reducing new investments and de-leveraging the balance sheet [2]. R&amp;D Intensity (0/1): Zero R&amp;D expenditure. BDCs are financial vehicles, not technology companies.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No mission, purpose, or vision statement found beyond the functional description of providing 'customized credit solutions to private middle market U.S. companies' [3]. The company exists purely as a financial vehicle for generating income from private credit investments. There is no articulated purpose beyond returns. Community Impact (0/2): No charitable programs, community investment, or foundation activities were identified. The company operates as an externally managed financial vehicle with minimal community presence. Employee Retention (0/2): As an externally managed BDC, FSK has a minimal direct employee base. No retention or culture data available. Management is provided by the external advisor FS/KKR. Insider Buying (1/2): KKR Alternative Assets launched a $150M tender offer for FSK shares at $11 per share (above market price) and invested $150M in convertible preferred stock — significant capital support during the crisis [4]. However, this represents damage control by the managing partner rather than conviction buying, and the actions coincide with a class action lawsuit alleging misleading investor disclosures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showed modest stabilization from the Q1 catastrophe: NII of $0.44/share beat the 8-9% annualized guidance (9.6% annualized yield), nonaccruals improved to 7.1% from 8.1%, and net D/E fell to 122% from 131% [1]. However, NAV declined another 2.8% to $18.30/share and total investment income fell to $290M from $304M in Q1 [1]. Forward P/E of 6.35 is low but reflects distress, and the stock trades at just 0.59x NAV [6]. D/E of 122% is within the target range (1.0-1.25x) but concerning given Moody's Ba1 junk rating [5]. ROE remains near zero on a TTM basis given the $560M Q1 losses. Profit margin is deeply negative on a TTM basis due to investment write-downs. The 12-year consecutive dividend payment history provides some stability, but the dividend was previously cut 31% and payout ratio is ~100% of NII. Liquidity floor cleared: 4.45M avg volume x ~$10.80 = $48.1M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FSK is a purely finite game player by design. As an externally managed BDC, it exists as a financial vehicle for generating quarterly income distributions — there is no purpose beyond returns, no mission connecting the work to something larger, and strategic decisions are driven entirely by yield optimization. The current crisis — a Moody's downgrade to junk, a securities class action alleging misleading disclosures, and a 9.9% NAV decline in a single quarter — reveals what happens when finite game thinking encounters a genuine test. Rather than building resilience or purpose, the company is now shrinking to survive.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FSK has no Just Cause. The company exists to generate income from private credit lending — a purely financial purpose with no vision of a better future, no deeper meaning, and no aspiration beyond quarterly distributions [3]. Strategic decisions are driven entirely by yield and credit spreads. An externally managed BDC is structurally incapable of having a Just Cause because the management team's primary obligation is to the external advisor's economics, not to any transcendent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securities class action lawsuit alleging that FSK executives made 'misleading statements to investors regarding the health of its loan portfolio and the sustainability of its dividend payouts' represents a fundamental breach of trust with the investor base [5]. According to the complaint, the company 'overstated how well its restructurings were working, overstated the value of its portfolio, and overstated how durable that headline dividend really was.' If true, this describes a low-trust environment where leadership prioritized perception over transparency. As an externally managed vehicle, there is no meaningful employee base to evaluate for team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FSK competes against Ares Capital, Blue Owl, and other BDCs primarily through yield and leverage rather than capability improvement. The company's competitive positioning has been about offering higher yields (through higher leverage and lower credit quality) rather than building differentiated capabilities — a strategy now exposed by the portfolio deterioration and Moody's downgrade [5].</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FSK has shown no strategic flexibility. The company has been a private credit BDC since inception with no pivots or adaptations. The current response to the crisis — reducing new investments, de-leveraging, and share buybacks — represents a defensive retreat rather than a strategic reinvention [2]. The company's externally managed structure inherently limits flexibility, as the management advisor captures fees regardless of strategic direction.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KKR's decision to inject $150M through convertible preferred stock and launch a $150M tender offer at $11/share (above market) during the company's worst crisis represents meaningful financial commitment when it would have been easier to walk away [4]. This provides capital support and a price floor for shareholders. However, this courage is motivated primarily by KKR's reputational exposure and the need to stabilize the fund to preserve management fees rather than by principled long-term thinking. The concurrent class action lawsuit alleging misleading disclosures undermines any claim of principled leadership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FSK trades at ~$10.80, a 41% discount to Q2 2026 NAV of $18.30, and offers a 19.3% dividend yield with a forward P/E of 6.35 [1][6]. Q2 2026 showed stabilization: NII of $0.44/share beat the 8-9% annualized guidance, nonaccruals improved to 7.1% from 8.1%, and net D/E fell to 122% from 131% as the company generated $1.3B in sales/repayments against $590M in originations — actively de-risking the portfolio [1]. KKR's $300M capital support ($150M tender offer at $11 + $150M convertible preferred) provides a price floor and managing partner commitment [4]. If nonaccrual trends continue improving and the de-leveraging strategy works, the deep NAV discount could narrow meaningfully from the current 41% level.</w:t>
      </w:r>
    </w:p>
    <w:p>
      <w:pPr>
        <w:spacing w:after="120"/>
      </w:pPr>
      <w:r>
        <w:rPr>
          <w:rFonts w:ascii="Calibri" w:hAnsi="Calibri"/>
          <w:b w:val="0"/>
          <w:color w:val="3A4A28"/>
          <w:sz w:val="20"/>
        </w:rPr>
        <w:t>The bear case remains severe. Moody's Ba1 junk rating and the securities class action alleging misleading portfolio disclosures create ongoing institutional overhang and litigation risk [5]. Despite Q2 improvement, nonaccruals remain elevated at 7.1% (3.8% at fair value), and NAV continued declining (down 2.8% QoQ to $18.30 after Q1's 9.9% collapse), reflecting ongoing credit deterioration in the $12.3B portfolio [1]. Total investment income fell $14M QoQ to $290M as lower interest rates and a shrinking portfolio compress earnings. The software company exposure — 16.4% of the portfolio — remains structurally at risk from AI disruption, and CNBC reported many write-downs are tied to AI-disrupted borrowers [2]. The 41% discount to NAV may reflect appropriate risk pricing given the Moody's junk status, litigation overhang, and the possibility that further credit deterioration will necessitate additional dividend cuts below the current $0.44/quarter [5]. The JPMorgan-led credit facility tightening limits financial flexibility during the recovery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nonaccrual improvement (7.1% from 8.1%) and NII beat ($0.44 vs 8-9% guidance) suggest the portfolio may be stabilizing, and continued improvement could narrow the 41% NAV discount [1]</w:t>
      </w:r>
    </w:p>
    <w:p>
      <w:pPr>
        <w:spacing w:before="40" w:after="40"/>
        <w:ind w:left="283"/>
      </w:pPr>
      <w:r>
        <w:rPr>
          <w:rFonts w:ascii="Calibri" w:hAnsi="Calibri"/>
          <w:b/>
          <w:color w:val="4A6B25"/>
          <w:sz w:val="20"/>
        </w:rPr>
        <w:t xml:space="preserve">2. </w:t>
      </w:r>
      <w:r>
        <w:rPr>
          <w:rFonts w:ascii="Calibri" w:hAnsi="Calibri"/>
          <w:b w:val="0"/>
          <w:color w:val="3A4A28"/>
          <w:sz w:val="20"/>
        </w:rPr>
        <w:t>Aggressive de-leveraging — $1.3B in sales/repayments against $590M originations in Q2, reducing net D/E to 122% — demonstrates proactive portfolio management that could eventually restore investment-grade credit rating [1]</w:t>
      </w:r>
    </w:p>
    <w:p>
      <w:pPr>
        <w:spacing w:before="40" w:after="40"/>
        <w:ind w:left="283"/>
      </w:pPr>
      <w:r>
        <w:rPr>
          <w:rFonts w:ascii="Calibri" w:hAnsi="Calibri"/>
          <w:b/>
          <w:color w:val="4A6B25"/>
          <w:sz w:val="20"/>
        </w:rPr>
        <w:t xml:space="preserve">3. </w:t>
      </w:r>
      <w:r>
        <w:rPr>
          <w:rFonts w:ascii="Calibri" w:hAnsi="Calibri"/>
          <w:b w:val="0"/>
          <w:color w:val="3A4A28"/>
          <w:sz w:val="20"/>
        </w:rPr>
        <w:t>KKR's $300M capital support package ($150M tender + $150M convertible preferred at $11/share) provides a price floor and demonstrates managing partner commitment to stabilization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Moody's downgrade to Ba1 (junk) may trigger forced institutional selling, credit facility tightening, and a negative spiral of declining NAV and restricted capital access</w:t>
      </w:r>
    </w:p>
    <w:p>
      <w:pPr>
        <w:spacing w:before="40" w:after="40"/>
        <w:ind w:left="283"/>
      </w:pPr>
      <w:r>
        <w:rPr>
          <w:rFonts w:ascii="Calibri" w:hAnsi="Calibri"/>
          <w:b/>
          <w:color w:val="4A6B25"/>
          <w:sz w:val="20"/>
        </w:rPr>
        <w:t xml:space="preserve">2. </w:t>
      </w:r>
      <w:r>
        <w:rPr>
          <w:rFonts w:ascii="Calibri" w:hAnsi="Calibri"/>
          <w:b w:val="0"/>
          <w:color w:val="3A4A28"/>
          <w:sz w:val="20"/>
        </w:rPr>
        <w:t>Securities class action alleging misleading disclosures about portfolio health and dividend sustainability creates material litigation liability and management distraction</w:t>
      </w:r>
    </w:p>
    <w:p>
      <w:pPr>
        <w:spacing w:before="40" w:after="40"/>
        <w:ind w:left="283"/>
      </w:pPr>
      <w:r>
        <w:rPr>
          <w:rFonts w:ascii="Calibri" w:hAnsi="Calibri"/>
          <w:b/>
          <w:color w:val="4A6B25"/>
          <w:sz w:val="20"/>
        </w:rPr>
        <w:t xml:space="preserve">3. </w:t>
      </w:r>
      <w:r>
        <w:rPr>
          <w:rFonts w:ascii="Calibri" w:hAnsi="Calibri"/>
          <w:b w:val="0"/>
          <w:color w:val="3A4A28"/>
          <w:sz w:val="20"/>
        </w:rPr>
        <w:t>AI disruption of software portfolio companies driving nonaccruals higher — this is a structural risk that may worsen as AI capabilities expand and more middle-market software companies face disruption from AI alternatives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FSK's core business model — originating and holding private credit loans — is not directly threatened by AI, as lending relationships and credit analysis require human judgment, legal frameworks, and relationship management. However, the portfolio itself is being actively damaged by AI disruption: CNBC reported that 'many marked-down loans are to software companies facing possible disruption from artificial intelligence,' contributing directly to the surge in nonaccruals from 5.5% to 8.1% of the portfolio [2]. This represents a unique form of AI exposure — the company's assets (loans to technology companies) are losing value because AI is disrupting the borrowers' business models. Additionally, AI-powered fintech competitors could eventually challenge BDC lending with faster underwriting and better risk assessment. The Moody's downgrade explicitly cited asset quality deterioration, which is partially AI-driven [5]. AI Opportunity (0/1): No AI-driven revenue, products, or quantified efficiency gains. FSK has not deployed AI in its credit analysis or portfolio management in any disclosed capacity.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FS KKR Capital Q1 &amp; Q2 2026 Earnings — Q2 NII $0.44/share (9.6% Annualized), NAV $18.30 (-2.8% QoQ), Nonaccruals 7.1%, Net D/E 122%, SEC 8-K, August 2026</w:t>
      </w:r>
    </w:p>
    <w:p>
      <w:pPr>
        <w:spacing w:before="20" w:after="20"/>
        <w:ind w:left="170"/>
      </w:pPr>
      <w:r>
        <w:rPr>
          <w:rFonts w:ascii="Calibri" w:hAnsi="Calibri"/>
          <w:b/>
          <w:color w:val="4A6B25"/>
          <w:sz w:val="15"/>
        </w:rPr>
        <w:t xml:space="preserve">2. </w:t>
      </w:r>
      <w:r>
        <w:rPr>
          <w:rFonts w:ascii="Calibri" w:hAnsi="Calibri"/>
          <w:b w:val="0"/>
          <w:color w:val="3A4A28"/>
          <w:sz w:val="17"/>
        </w:rPr>
        <w:t>CNBC — FS KKR Private Credit Fund JPMorgan-Led Group Reins in Credit, Software Portfolio AI Disruption, May 2026</w:t>
      </w:r>
    </w:p>
    <w:p>
      <w:pPr>
        <w:spacing w:before="20" w:after="20"/>
        <w:ind w:left="170"/>
      </w:pPr>
      <w:r>
        <w:rPr>
          <w:rFonts w:ascii="Calibri" w:hAnsi="Calibri"/>
          <w:b/>
          <w:color w:val="4A6B25"/>
          <w:sz w:val="15"/>
        </w:rPr>
        <w:t xml:space="preserve">3. </w:t>
      </w:r>
      <w:r>
        <w:rPr>
          <w:rFonts w:ascii="Calibri" w:hAnsi="Calibri"/>
          <w:b w:val="0"/>
          <w:color w:val="3A4A28"/>
          <w:sz w:val="17"/>
        </w:rPr>
        <w:t>FS KKR Capital Corporate Overview — fskkrcapitalcorp.com, $19B AUM,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KKR Tender Offer and Convertible Preferred Stock Issuance — $300M Capital Support Package, StockTitan/SEC, 2026</w:t>
      </w:r>
    </w:p>
    <w:p>
      <w:pPr>
        <w:spacing w:before="20" w:after="20"/>
        <w:ind w:left="170"/>
      </w:pPr>
      <w:r>
        <w:rPr>
          <w:rFonts w:ascii="Calibri" w:hAnsi="Calibri"/>
          <w:b/>
          <w:color w:val="4A6B25"/>
          <w:sz w:val="15"/>
        </w:rPr>
        <w:t xml:space="preserve">5. </w:t>
      </w:r>
      <w:r>
        <w:rPr>
          <w:rFonts w:ascii="Calibri" w:hAnsi="Calibri"/>
          <w:b w:val="0"/>
          <w:color w:val="3A4A28"/>
          <w:sz w:val="17"/>
        </w:rPr>
        <w:t>Moody's Downgrade to Ba1 and Securities Class Action — CNBC, PitchBook, InvestmentNews,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 FSK Key Statistics: Forward P/E 6.35, 0.59x NAV, Yield 19.28%,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