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FTI</w:t>
      </w:r>
      <w:r>
        <w:rPr>
          <w:rFonts w:ascii="Calibri" w:hAnsi="Calibri"/>
          <w:b/>
          <w:color w:val="1A2010"/>
          <w:sz w:val="40"/>
        </w:rPr>
        <w:t xml:space="preserve">  TechnipFMC plc</w:t>
      </w:r>
    </w:p>
    <w:p>
      <w:pPr>
        <w:spacing w:after="120"/>
      </w:pPr>
      <w:r>
        <w:rPr>
          <w:rFonts w:ascii="Calibri" w:hAnsi="Calibri"/>
          <w:b/>
          <w:color w:val="6E8450"/>
          <w:sz w:val="18"/>
        </w:rPr>
        <w:t>GROWTH SLEEVE · 2026-08-28 · Inspire: 66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Kingdom</w:t>
      </w:r>
    </w:p>
    <w:p>
      <w:pPr>
        <w:spacing w:after="80"/>
      </w:pPr>
      <w:r>
        <w:rPr>
          <w:rFonts w:ascii="Calibri" w:hAnsi="Calibri"/>
          <w:b w:val="0"/>
          <w:color w:val="3A4A28"/>
          <w:sz w:val="20"/>
        </w:rPr>
        <w:t>TechnipFMC plc is a global leader in subsea energy technology and services, providing integrated solutions for offshore oil and gas production including subsea trees, manifolds, flowlines, and risers. The company pioneered the integrated engineering, procurement, construction, and installation (iEPCI) model. Q2 2026 revenue was $2.76B with subsea margins expanding to 23.2% (record) and adjusted EBITDA of $577M (+31% YoY). Full-year 2026 adjusted EBITDA guidance raised to approximately $2.19B. Subsea backlog stands at $15.8B with a record $30.5B opportunity pipeline.</w:t>
      </w:r>
    </w:p>
    <w:p>
      <w:r>
        <w:rPr>
          <w:rFonts w:ascii="Calibri" w:hAnsi="Calibri"/>
          <w:b/>
          <w:color w:val="6E8450"/>
          <w:sz w:val="18"/>
        </w:rPr>
        <w:t>28,000 Employees · https://www.technipfmc.com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TechnipFMC has executed a transformative business model shift through its iEPCI (integrated engineering, procurement, construction, and installation) approach, bundling subsea equipment with project management and installation services [1]. This model has driven subsea EBITDA margins from low teens to a record 23.2% in Q2 2026. The 2021 spin-off of Technip Energies further sharpened strategic focus. Additionally, iComplete and iFEED product extensions continue the innovation trajectory. AI Deployment (1/2): TechnipFMC deploys AI through its Smart Pipeline Design ARENA platform for AI-optimized pipeline engineering and partners with Flutura for oil field equipment intelligence and predictive maintenance [2]. Digital twin technology enhances subsea system monitoring. No specific AI revenue figures reported. Market Share (2/2): TechnipFMC is one of the top two global subsea equipment providers alongside Aker Solutions/OneSubsea (SLB), with $15.8B subsea backlog and dominant share of deepwater project awards [1]. Record $30.5B opportunity pipeline underscores market leadership. Pipeline (1/2): Subsea revenue guidance raised to include $10B targeted inbound for 2026, with a larger step-up expected in 2027 [1]. $5.9B+ of subsea backlog scheduled beyond 2027 provides multi-year visibility. R&amp;D Intensity (1/1): Continuous investment in subsea technology including next-generation subsea processing, all-electric subsea systems, and digital twin capabilities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TechnipFMC's purpose centers on enhancing the performance of the world's energy industry through technology and innovation in subsea systems. The mission identifies a connection to reliable energy production but is not distinctively articulated compared to oilfield services peers — it could describe any subsea technology provider [2]. Community Impact (1/2): TechnipFMC won the NOIA ESG Excellence Award recognizing community and environmental contributions, and the company maintains active safety, environmental, and ESG programs with a dedicated ESG Committee [3]. However, no specific philanthropic dollar amounts or distinctive community programs were identified. Employee Retention (2/2): Glassdoor rating of 4.2/5 based on 2,522 reviews is notably strong for the energy services sector, with 92% of employees recommending the company and 4.2/5 rating for culture and values [2]. CEO Doug Pferdehirt has led TechnipFMC since the 2017 merger with prior 26-year tenure at Schlumberger, providing exceptional leadership continuity and institutional stability. Insider Buying (0/2): No evidence of meaningful net insider buying in the last 12 months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Conservative balance sheet with D/E of 39% well below the 70% target [4]. ROE of 29.6% nearly doubles the 15% target, reflecting strong capital efficiency from the higher-margin iEPCI model [4]. Q1 2026 revenue rose 12% YoY, with H1 2026 revenue of $5,255.8M and H1 net income of $623.2M [1]. 5-year revenue CAGR of approximately 11.5% exceeds the 10% target [4]. Forward P/E of 23.95 is modestly above the 20 target, scoring 0.90. Profit margin of 9.7% is below the 20% target but characteristic of an engineering/construction-heavy business model [4]. Forward PEG of 1.30 reflects reasonable valuation for the growth rate, scoring 0.85 with double weight. Stock has appreciated approximately 120% over the past 52 weeks on rising subsea backlog and record margin expansion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TechnipFMC demonstrates moderate infinite game characteristics anchored by strong leadership continuity and a genuine evolution of its business model. CEO Pferdehirt's strategic vision of the iEPCI integrated model reflects long-term thinking about competitive positioning, and the decision to spin off Technip Energies showed willingness to sacrifice scale for strategic clarity. However, the company operates in a cyclical industry where short-term capex cycles heavily influence strategy, and the energy transition creates existential tension between the current fossil fuel focus and long-term sustainability. The 6-point score reflects genuine long-term thinking within an inherently cyclical context.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TechnipFMC's purpose of driving subsea energy technology connects to the broader cause of enabling reliable, safe energy production through engineering innovation. The company's strategic decisions — pioneering iEPCI, spinning off Technip Energies to sharpen subsea focus, investing in all-electric subsea systems — trace back to a consistent vision of subsea technology leadership [1][2]. However, the purpose has not been tested through multi-decade consistency as a standalone entity (merger was 2017, spin-off was 2021), and the framing is more about competitive positioning than an aspirational future state.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4.2/5 with 2,522 reviews and 92% recommendation rate is strong evidence of a positive workplace culture in the energy services sector [2]. Employees rate culture and values at 4.2/5. CEO Pferdehirt's leadership continuity since 2017 with prior 26-year Schlumberger tenure provides organizational stability. The company's approximately 28,000 employees operate in a project-execution culture that emphasizes safety, reliability, and collaboration across global operations.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TechnipFMC's competitive strategy is framed around building differentiated capabilities (iEPCI integration, technology-led solutions) rather than destroying competitors [1]. Management commentary focuses on improving subsea margins and technology advancement rather than taking share from Aker Solutions or OneSubsea. The iEPCI model was developed by studying competitors' fragmented approaches and building something better — classic infinite competitive mindset that uses rivals' existence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TechnipFMC demonstrated meaningful strategic flexibility by spinning off Technip Energies in 2021 to focus purely on subsea technology and services [1]. This was a deliberate decision to abandon the onshore/offshore engineering business (a profitable legacy generating billions in revenue) in service of a focused subsea technology vision. The pivot from traditional equipment-only sales to the iEPCI integrated model fundamentally changed the business approach. These are significant but not transformative — the company remains in the same industry serving the same customers.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spin-off of Technip Energies required leadership courage — giving up a significant revenue stream and overhead absorption to pursue a focused subsea strategy [1]. The decision to raise 2026 EBITDA guidance to approximately $2.19B and accelerate share buybacks during a period of energy market uncertainty shows conviction. The company targets $10B in 2026 subsea inbound with a larger step-up expected in 2027, reflecting confident long-term investment in capacity [1]. However, these decisions align with a favorable cyclical tailwind rather than contrarian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TechnipFMC is executing at the highest level in its history, with Q2 2026 subsea EBITDA margins hitting a record 23.2% and adjusted EBITDA of $577M (+31% YoY), driving management to raise full-year EBITDA guidance to approximately $2.19B [1]. The $15.8B subsea backlog provides approximately 6.5 quarters of revenue visibility, and the record $30.5B opportunity pipeline supports the $10B 2026 inbound target with a larger step-up expected in 2027. H1 2026 revenue of $5,255.8M with diluted EPS of $1.53 demonstrates the structural improvement from the iEPCI model — a competitive moat that bundles higher-margin services with equipment. D/E of 39% and ROE of 29.6% reflect a conservative balance sheet generating efficient returns [4]. The Inspire Impact Score of 66 (ALIGNED) is favorable for faith-based investors.</w:t>
      </w:r>
    </w:p>
    <w:p>
      <w:pPr>
        <w:spacing w:after="120"/>
      </w:pPr>
      <w:r>
        <w:rPr>
          <w:rFonts w:ascii="Calibri" w:hAnsi="Calibri"/>
          <w:b w:val="0"/>
          <w:color w:val="3A4A28"/>
          <w:sz w:val="20"/>
        </w:rPr>
        <w:t>The bear case centers on cyclicality and valuation: at 24x forward earnings and 30x trailing, FTI is priced for continued backlog growth, leaving limited margin of safety if oil and gas capex declines [4]. Q1 2026 book-to-bill of 0.9x was below 1.0, raising questions about whether the quarterly order cadence has peaked, though management targets $10B full-year inbound and the TTM ratio remains above 1.0x [1]. Profit margin of 9.7% remains thin for a company valued at this multiple, typical of the engineering/construction model but limiting upside if volumes flatten. The 0.28% dividend yield provides no downside cushion. The energy transition creates a long-tail existential risk — if the world accelerates away from fossil fuels, demand for subsea infrastructure eventually declines, though AI-driven data center energy demand and the $30.5B opportunity pipeline provide near-term visibility beyond 2030.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Subsea EBITDA margins expanding beyond the record 23.2% as iEPCI model maturity drives pricing power and execution efficiency on the $15.8B backlog, with full-year guidance raised to ~$2.19B adjusted EBITDA [1]</w:t>
      </w:r>
    </w:p>
    <w:p>
      <w:pPr>
        <w:spacing w:before="40" w:after="40"/>
        <w:ind w:left="283"/>
      </w:pPr>
      <w:r>
        <w:rPr>
          <w:rFonts w:ascii="Calibri" w:hAnsi="Calibri"/>
          <w:b/>
          <w:color w:val="4A6B25"/>
          <w:sz w:val="20"/>
        </w:rPr>
        <w:t xml:space="preserve">2. </w:t>
      </w:r>
      <w:r>
        <w:rPr>
          <w:rFonts w:ascii="Calibri" w:hAnsi="Calibri"/>
          <w:b w:val="0"/>
          <w:color w:val="3A4A28"/>
          <w:sz w:val="20"/>
        </w:rPr>
        <w:t>Deepwater project sanctions in Brazil (Petrobras pre-salt), West Africa, and Gulf of Mexico providing $10B+ annual order intake to sustain and grow backlog, with a larger step-up expected in 2027 [1]</w:t>
      </w:r>
    </w:p>
    <w:p>
      <w:pPr>
        <w:spacing w:before="40" w:after="40"/>
        <w:ind w:left="283"/>
      </w:pPr>
      <w:r>
        <w:rPr>
          <w:rFonts w:ascii="Calibri" w:hAnsi="Calibri"/>
          <w:b/>
          <w:color w:val="4A6B25"/>
          <w:sz w:val="20"/>
        </w:rPr>
        <w:t xml:space="preserve">3. </w:t>
      </w:r>
      <w:r>
        <w:rPr>
          <w:rFonts w:ascii="Calibri" w:hAnsi="Calibri"/>
          <w:b w:val="0"/>
          <w:color w:val="3A4A28"/>
          <w:sz w:val="20"/>
        </w:rPr>
        <w:t>All-electric subsea systems and next-generation subsea processing technology winning industry adoption, reinforcing TechnipFMC's technology leadership and extending the competitive moat against Aker Solutions and OneSubsea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Q1 2026 book-to-bill of 0.9x signals potential quarterly lumpiness in orders — if deepwater project sanctions decelerate or concentrate in fewer mega-projects, backlog visibility could narrow [1]</w:t>
      </w:r>
    </w:p>
    <w:p>
      <w:pPr>
        <w:spacing w:before="40" w:after="40"/>
        <w:ind w:left="283"/>
      </w:pPr>
      <w:r>
        <w:rPr>
          <w:rFonts w:ascii="Calibri" w:hAnsi="Calibri"/>
          <w:b/>
          <w:color w:val="4A6B25"/>
          <w:sz w:val="20"/>
        </w:rPr>
        <w:t xml:space="preserve">2. </w:t>
      </w:r>
      <w:r>
        <w:rPr>
          <w:rFonts w:ascii="Calibri" w:hAnsi="Calibri"/>
          <w:b w:val="0"/>
          <w:color w:val="3A4A28"/>
          <w:sz w:val="20"/>
        </w:rPr>
        <w:t>Forward P/E of 24x and 120% stock appreciation over 52 weeks leave limited margin of safety — any oil price decline below $65/bbl would likely trigger operator capex deferrals and multiple compression [4]</w:t>
      </w:r>
    </w:p>
    <w:p>
      <w:pPr>
        <w:spacing w:before="40" w:after="40"/>
        <w:ind w:left="283"/>
      </w:pPr>
      <w:r>
        <w:rPr>
          <w:rFonts w:ascii="Calibri" w:hAnsi="Calibri"/>
          <w:b/>
          <w:color w:val="4A6B25"/>
          <w:sz w:val="20"/>
        </w:rPr>
        <w:t xml:space="preserve">3. </w:t>
      </w:r>
      <w:r>
        <w:rPr>
          <w:rFonts w:ascii="Calibri" w:hAnsi="Calibri"/>
          <w:b w:val="0"/>
          <w:color w:val="3A4A28"/>
          <w:sz w:val="20"/>
        </w:rPr>
        <w:t>Energy transition creates a long-tail secular risk for subsea oil and gas infrastructure demand, though the timeline extends beyond 2030 given the $30.5B current opportunity pipeline and AI-driven energy demand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TechnipFMC's core business — designing, manufacturing, and installing subsea equipment on the ocean floor at extreme depths and pressures — is inherently immune to AI substitution [1]. The work involves physical-world engineering, heavy manufacturing, offshore vessel operations, and regulatory-intensive safety requirements that AI cannot replicate. Deepwater energy production requires TechnipFMC's proprietary hardware (subsea trees, manifolds, flowlines) and decades of accumulated engineering expertise. AI may actually increase demand for subsea infrastructure as data center energy consumption drives natural gas demand. However, AI-enabled engineering tools from competitors could eventually erode project execution advantages, and AI optimization of subsea field layouts could marginally reduce equipment requirements per field [2]. AI Opportunity (1/1): TechnipFMC actively deploys AI through its ARENA platform for pipeline design optimization, Flutura-powered equipment intelligence for predictive maintenance, and digital twin technology for subsea monitoring [2]. These generate measurable efficiency gains in engineering hours and reduce project risk, representing early-stage but real AI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TechnipFMC Q1-Q2 2026 Earnings — Q1 Revenue $2,492.7M (+12% YoY), Q2 Revenue $2,763.1M, H1 EPS $1.53, Record Subsea Margins 23.2%, EBITDA Guidance Raised to ~$2.19B, $10B Inbound Target — TechnipFMC.com, StockTitan, Seeking Alpha, Investing.com, 2026</w:t>
      </w:r>
    </w:p>
    <w:p>
      <w:pPr>
        <w:spacing w:before="20" w:after="20"/>
        <w:ind w:left="170"/>
      </w:pPr>
      <w:r>
        <w:rPr>
          <w:rFonts w:ascii="Calibri" w:hAnsi="Calibri"/>
          <w:b/>
          <w:color w:val="4A6B25"/>
          <w:sz w:val="15"/>
        </w:rPr>
        <w:t xml:space="preserve">2. </w:t>
      </w:r>
      <w:r>
        <w:rPr>
          <w:rFonts w:ascii="Calibri" w:hAnsi="Calibri"/>
          <w:b w:val="0"/>
          <w:color w:val="3A4A28"/>
          <w:sz w:val="17"/>
        </w:rPr>
        <w:t>TechnipFMC Leadership, AI Innovation, iEPCI Model — CEO Doug Pferdehirt, CTO Justin Rounce, ARENA Platform, Flutura Partnership, Digital Twin Technology — TechnipFMC.com,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TechnipFMC ESG — NOIA ESG Excellence Award, ESG Committee Oversight, Safety and Environmental Programs — TechnipFMC.com, OceanNews,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FTI Key Statistics: Forward P/E 23.95x, D/E 39%, ROE 29.6%, Profit Margin 9.7%, Stock Price $76.99, Avg Volume 4.13M,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