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FULC</w:t>
      </w:r>
      <w:r>
        <w:rPr>
          <w:rFonts w:ascii="Calibri" w:hAnsi="Calibri"/>
          <w:b/>
          <w:color w:val="1A2010"/>
          <w:sz w:val="40"/>
        </w:rPr>
        <w:t xml:space="preserve">  Fulcrum Therapeutics, Inc.</w:t>
      </w:r>
    </w:p>
    <w:p>
      <w:pPr>
        <w:spacing w:after="120"/>
      </w:pPr>
      <w:r>
        <w:rPr>
          <w:rFonts w:ascii="Calibri" w:hAnsi="Calibri"/>
          <w:b/>
          <w:color w:val="6E8450"/>
          <w:sz w:val="18"/>
        </w:rPr>
        <w:t>GROWTH SLEEVE · 2026-09-29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Fulcrum Therapeutics was a clinical-stage biopharmaceutical company focused on developing small molecule therapies for genetically defined diseases, primarily rare hematological disorders. Following the Phase 3 failure of losmapimod (FSHD, partnered with Sanofi) and the FDA-driven discontinuation of pociredir (sickle cell disease) due to cancer risk concerns in June 2026, the company ceased all drug development, reduced its workforce 85% to 9 employees, and is exploring strategic alternatives including a potential sale with Leerink Partners. Cash of $333.3M as of Q1 2026 with runway into 2029. Headquartered in Cambridge, Massachusetts.</w:t>
      </w:r>
    </w:p>
    <w:p>
      <w:r>
        <w:rPr>
          <w:rFonts w:ascii="Calibri" w:hAnsi="Calibri"/>
          <w:b/>
          <w:color w:val="6E8450"/>
          <w:sz w:val="18"/>
        </w:rPr>
        <w:t>9 Employees · https://www.fulcrumtx.com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Both of Fulcrum's pipeline programs have failed. Losmapimod, the FSHD treatment partnered with Sanofi ($80M upfront deal), failed its Phase 3 REACH trial [4]. Pociredir, the sickle cell disease candidate, was discontinued in June 2026 after FDA raised cancer risks associated with PRC2 inhibitors [3]. The company has no successful product launches and no remaining active programs. AI Deployment (0/2): No AI deployment in drug discovery or any other function [5]. Market Share (0/2): Zero commercial products and zero market share in any therapeutic category. Product Pipeline (0/2): Pipeline is empty — all development programs have been discontinued and the company is exploring a sale with Leerink Partners as financial adviser [3]. R&amp;D Intensity (0/1): R&amp;D spending eliminated following the 85% workforce reduction from 57 to 9 employees; the company is in wind-down mode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Fulcrum's stated mission — developing therapies for genetically defined diseases including sickle cell disease and FSHD — is clear, patient-centered, and addresses genuine unmet medical needs [5]. However, the mission is no longer being actively pursued following discontinuation of all programs and the strategic review process. Community Impact (0/2): No evidence of charitable programs or community investment beyond the inherent social value of rare disease drug development, which is now discontinued. Employee Retention (0/2): The company executed an 85% workforce reduction in June 2026, cutting from 57 to 9 employees with $4.2M in severance costs [3]. This is organizational dissolution, not retention. Insider Buying (0/2): No evidence of meaningful insider buying; stock has declined significantly with CEO Alex Sapir (appointed July 2023) overseeing the wind-down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most financial ratios are inapplicable for a pre-revenue biotech in wind-down. D/E of 1.7% scores perfectly (essentially no debt — approximately $5M total debt against ~$333M cash), giving a near-pristine balance sheet [5]. However, ROE of -32.4% scores zero (2x weight for Growth), reflecting persistent net losses ($18.9M in Q1 2026 alone) [1][5]. All other metrics — Forward P/E (negative), Profit Margin (0%), Revenue Growth (zero revenue), PEG — score zero because the company generates no revenue [1]. Stock trades at $3.72 versus estimated cash per share of ~$4.37 — a 15% discount to net cash — meaning the market assigns negative value to liabilities, strategic review costs, and potential legal exposure [2][5]. Daily dollar volume of $5.98M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Fulcrum exhibits a finite game mindset — the company pursued drug development as a venture-backed bet on specific programs rather than building an enduring organization. When both pipeline candidates failed, the company immediately moved to strategic alternatives rather than rebuilding capabilities around its rare disease mission. The 85% workforce reduction and hiring of Leerink Partners to explore a sale demonstrate that organizational survival was never the primary objective.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Fulcrum's mission to develop therapies for sickle cell disease and FSHD represents genuine purpose with real patient impact [5]. However, this cause did not survive adversity — when pipeline programs failed, the company abandoned the mission rather than finding new approaches to serve the same patients. A truly infinite player would have explored alternative rare disease therapeutics rather than initiating a wind-down. The mission was a business thesis, not an enduring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85% workforce reduction from 57 to 9 employees in June 2026 is the most devastating outcome for organizational trust [3]. The $4.2M severance provides some financial cushion, but the organization has been dissolved. Prior to cuts, no exceptional trust indicators were identified. A company that eliminates 48 of 57 positions cannot score meaningfully on Sinek's Trusting Teams dimension.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Fulcrum operated alongside competitors like bluebird bio, Global Blood Therapeutics (acquired by Pfizer), and Vertex (sickle cell), but no public evidence exists of management referencing competitors' strengths as motivation for improvement or learning [5].</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Fulcrum showed no meaningful flexibility when faced with pipeline failures. When losmapimod failed Phase 3 with Sanofi, the company pivoted to pociredir — but when that was also discontinued, the response was immediate wind-down rather than reinvention [3][4]. No attempt was made to leverage the company's small molecule discovery platform, gene regulation expertise, or $333M cash position to pursue alternative therapeutic approaches.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Alex Sapir discontinued pociredir when the FDA raised cancer concerns — a responsible but not courageous decision [3]. The subsequent 85% workforce reduction and strategic review represent capitulation. No examples of leadership sacrificing short-term results for long-term capability building; the company defaulted to the standard biotech playbook of pursuing a sale when programs fail.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Fulcrum trades at $3.72 versus estimated cash per share of ~$4.37 ($333.3M as of Q1 2026), a 15% discount to net cash [1][5]. With only ~$5M in total debt and 9 remaining employees, burn rate has been dramatically reduced with cash runway extending into 2029. The strategic review with Leerink Partners could result in a sale, merger, or capital return that closes the gap to cash value. The stock is essentially a cash box with optionality — any strategic transaction at or above net cash would generate positive return from current levels.</w:t>
      </w:r>
    </w:p>
    <w:p>
      <w:pPr>
        <w:spacing w:after="120"/>
      </w:pPr>
      <w:r>
        <w:rPr>
          <w:rFonts w:ascii="Calibri" w:hAnsi="Calibri"/>
          <w:b w:val="0"/>
          <w:color w:val="3A4A28"/>
          <w:sz w:val="20"/>
        </w:rPr>
        <w:t>The bear case is straightforward: Fulcrum has no pipeline, no products, no revenue, and 9 employees. Both lead programs failed — losmapimod in Phase 3 and pociredir due to FDA safety concerns — leaving nothing to show for years of R&amp;D investment beyond a cash pile [3][4]. The strategic review process will erode cash through ongoing G&amp;A, advisory fees, and legal costs. Prior class action lawsuits over failure to disclose preclinical safety concerns add potential legal liability. The 15% discount to cash suggests the market expects value leakage before resolution. Q2 2026 EPS of -$0.34 confirms continued cash burn despite the reduced headcount [1]. For an investment framework focused on operational excellence and long-term business building, a wind-down shell company scores poorly across every IOWN dimension regardless of the cash cushion.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review resulting in a sale or merger at or above cash per share (~$4.37), returning value to shareholders and potentially offering premium for retained intellectual property [3]</w:t>
      </w:r>
    </w:p>
    <w:p>
      <w:pPr>
        <w:spacing w:before="40" w:after="40"/>
        <w:ind w:left="283"/>
      </w:pPr>
      <w:r>
        <w:rPr>
          <w:rFonts w:ascii="Calibri" w:hAnsi="Calibri"/>
          <w:b/>
          <w:color w:val="4A6B25"/>
          <w:sz w:val="20"/>
        </w:rPr>
        <w:t xml:space="preserve">2. </w:t>
      </w:r>
      <w:r>
        <w:rPr>
          <w:rFonts w:ascii="Calibri" w:hAnsi="Calibri"/>
          <w:b w:val="0"/>
          <w:color w:val="3A4A28"/>
          <w:sz w:val="20"/>
        </w:rPr>
        <w:t>Potential reverse merger with a private biotech seeking NASDAQ listing and access to Fulcrum's $333M cash position, creating a new growth vehicle</w:t>
      </w:r>
    </w:p>
    <w:p>
      <w:pPr>
        <w:spacing w:before="40" w:after="40"/>
        <w:ind w:left="283"/>
      </w:pPr>
      <w:r>
        <w:rPr>
          <w:rFonts w:ascii="Calibri" w:hAnsi="Calibri"/>
          <w:b/>
          <w:color w:val="4A6B25"/>
          <w:sz w:val="20"/>
        </w:rPr>
        <w:t xml:space="preserve">3. </w:t>
      </w:r>
      <w:r>
        <w:rPr>
          <w:rFonts w:ascii="Calibri" w:hAnsi="Calibri"/>
          <w:b w:val="0"/>
          <w:color w:val="3A4A28"/>
          <w:sz w:val="20"/>
        </w:rPr>
        <w:t>Market recognition of the below-cash trading anomaly attracting activist or value investors who push for accelerated capital return through special dividends or buybacks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review process eroding cash through ongoing G&amp;A, Leerink advisory fees, and legal costs, progressively destroying the margin between stock price and cash per share [3]</w:t>
      </w:r>
    </w:p>
    <w:p>
      <w:pPr>
        <w:spacing w:before="40" w:after="40"/>
        <w:ind w:left="283"/>
      </w:pPr>
      <w:r>
        <w:rPr>
          <w:rFonts w:ascii="Calibri" w:hAnsi="Calibri"/>
          <w:b/>
          <w:color w:val="4A6B25"/>
          <w:sz w:val="20"/>
        </w:rPr>
        <w:t xml:space="preserve">2. </w:t>
      </w:r>
      <w:r>
        <w:rPr>
          <w:rFonts w:ascii="Calibri" w:hAnsi="Calibri"/>
          <w:b w:val="0"/>
          <w:color w:val="3A4A28"/>
          <w:sz w:val="20"/>
        </w:rPr>
        <w:t>Pending or potential class action litigation related to pociredir safety disclosure failures could result in settlements reducing cash below current per-share levels</w:t>
      </w:r>
    </w:p>
    <w:p>
      <w:pPr>
        <w:spacing w:before="40" w:after="40"/>
        <w:ind w:left="283"/>
      </w:pPr>
      <w:r>
        <w:rPr>
          <w:rFonts w:ascii="Calibri" w:hAnsi="Calibri"/>
          <w:b/>
          <w:color w:val="4A6B25"/>
          <w:sz w:val="20"/>
        </w:rPr>
        <w:t xml:space="preserve">3. </w:t>
      </w:r>
      <w:r>
        <w:rPr>
          <w:rFonts w:ascii="Calibri" w:hAnsi="Calibri"/>
          <w:b w:val="0"/>
          <w:color w:val="3A4A28"/>
          <w:sz w:val="20"/>
        </w:rPr>
        <w:t>Reverse merger with a low-quality private company could deploy the $333M cash into a poor business, destroying shareholder value rather than returning cash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Scored on the basis of Fulcrum's historical business model (clinical-stage drug development), since the company is in wind-down mode. Pharmaceutical development involves complex biological mechanisms, multi-year clinical trials, stringent FDA requirements, and patient safety monitoring that AI cannot substitute [5]. Clinical trials require physical patient enrollment, biological sample collection, and long-term safety follow-up. However, AI is advancing rapidly in drug discovery — AI-driven target identification, compound screening, and clinical trial optimization are increasingly used by competitors, meaning AI accelerates competitive pace rather than eliminating drug development itself. AI Opportunity (0/1): No AI-related revenue or AI-powered drug discovery capabilities; the company never deployed AI in its platform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Fulcrum Therapeutics Q1 2026 Financial Results — GlobeNewsWire, April 2026; Q2 2026 Earnings Summary — TradingView,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FULC key statistics and financial data,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Fulcrum Therapeutics Discontinues Pociredir and Initiates Strategic Review — Press Coverage, June 2026</w:t>
      </w:r>
    </w:p>
    <w:p>
      <w:pPr>
        <w:spacing w:before="20" w:after="20"/>
        <w:ind w:left="170"/>
      </w:pPr>
      <w:r>
        <w:rPr>
          <w:rFonts w:ascii="Calibri" w:hAnsi="Calibri"/>
          <w:b/>
          <w:color w:val="4A6B25"/>
          <w:sz w:val="15"/>
        </w:rPr>
        <w:t xml:space="preserve">4. </w:t>
      </w:r>
      <w:r>
        <w:rPr>
          <w:rFonts w:ascii="Calibri" w:hAnsi="Calibri"/>
          <w:b w:val="0"/>
          <w:color w:val="3A4A28"/>
          <w:sz w:val="17"/>
        </w:rPr>
        <w:t>Sanofi-Fulcrum Losmapimod Phase 3 Failure — Industry Coverage, 2024</w:t>
      </w:r>
    </w:p>
    <w:p>
      <w:pPr>
        <w:spacing w:before="20" w:after="20"/>
        <w:ind w:left="170"/>
      </w:pPr>
      <w:r>
        <w:rPr>
          <w:rFonts w:ascii="Calibri" w:hAnsi="Calibri"/>
          <w:b/>
          <w:color w:val="4A6B25"/>
          <w:sz w:val="15"/>
        </w:rPr>
        <w:t xml:space="preserve">5. </w:t>
      </w:r>
      <w:r>
        <w:rPr>
          <w:rFonts w:ascii="Calibri" w:hAnsi="Calibri"/>
          <w:b w:val="0"/>
          <w:color w:val="3A4A28"/>
          <w:sz w:val="17"/>
        </w:rPr>
        <w:t>Fulcrum Therapeutics Company Website — About and Pipeline Pages,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