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FUTU</w:t>
      </w:r>
      <w:r>
        <w:rPr>
          <w:rFonts w:ascii="Calibri" w:hAnsi="Calibri"/>
          <w:b/>
          <w:color w:val="1A2010"/>
          <w:sz w:val="40"/>
        </w:rPr>
        <w:t xml:space="preserve">  Futu Holdings Limited</w:t>
      </w:r>
    </w:p>
    <w:p>
      <w:pPr>
        <w:spacing w:after="120"/>
      </w:pPr>
      <w:r>
        <w:rPr>
          <w:rFonts w:ascii="Calibri" w:hAnsi="Calibri"/>
          <w:b/>
          <w:color w:val="6E8450"/>
          <w:sz w:val="18"/>
        </w:rPr>
        <w:t>GROWTH SLEEVE · 2026-09-18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NASDAQ · Hong Kong</w:t>
      </w:r>
    </w:p>
    <w:p>
      <w:pPr>
        <w:spacing w:after="80"/>
      </w:pPr>
      <w:r>
        <w:rPr>
          <w:rFonts w:ascii="Calibri" w:hAnsi="Calibri"/>
          <w:b w:val="0"/>
          <w:color w:val="3A4A28"/>
          <w:sz w:val="20"/>
        </w:rPr>
        <w:t>Futu Holdings operates digitalized securities brokerage and wealth management platforms through its Moomoo and Futubull brands, serving 3.59 million funded accounts across Hong Kong, Singapore, the United States, Japan, Australia, Malaysia, and Canada. The platform offers commission-free trading, margin financing, AI-powered quantitative trading tools, and wealth management services. Founded in 2012 by former Tencent executive Leaf Hua Li, the company reported Q2 2026 revenue of HKD 7.2B (+36% YoY) and net income of HKD 3.6B (+42%). Faces a proposed CSRC fine of RMB 1.85B ($271M) for operating without required licenses in mainland China.</w:t>
      </w:r>
    </w:p>
    <w:p>
      <w:r>
        <w:rPr>
          <w:rFonts w:ascii="Calibri" w:hAnsi="Calibri"/>
          <w:b/>
          <w:color w:val="6E8450"/>
          <w:sz w:val="18"/>
        </w:rPr>
        <w:t>3,540 Employees · https://www.futuholdings.com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Futu has executed a significant geographic and product expansion over the past five years, growing from a Hong Kong-focused broker to a global platform operating across nine markets with 3.59 million funded accounts (+34% YoY) [1]. The launch of the Moomoo brand as a distinct international platform and the addition of algorithmic trading, wealth management, and commission-free features represent meaningful product diversification, though the core business model remains digital brokerage. AI Deployment (1/2): Futu launched Futubull AI with DeepSeek integration, including AI-powered Insights for personalized investment recommendations, Option Strategy Builder, and Algo Trading features [2]. These are shipping products enhancing platform engagement, though AI-specific revenue or cost-savings figures have not been separately disclosed. Market Share (2/2): Futu is the dominant retail digital brokerage platform in Hong Kong and a leading online broker in Singapore, with the fastest funded account growth rate among digital brokerages globally — 34% YoY to 3.59 million funded accounts, with 225,000 net new accounts added in Q1 2026 alone [1]. Product Pipeline (1/2): Continued expansion into new markets (Malaysia, Canada as recent additions), Futubull AI feature rollout, and platform enhancements provide near-term growth visibility, though specific next-generation products with named launch dates and revenue projections have not been disclosed. R&amp;D Intensity (1/1): As a Tencent-DNA fintech company, Futu invests heavily in engineering talent and platform development, placing it well above the traditional brokerage industry average in technology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Futu's purpose — 'Making investing easier and not alone' — identifies what the company does (simplify investing) and for whom (retail investors), with a distinctive social element reflecting the community-driven platform. The founder left a senior Tencent role to pursue this vision, connecting the origin story to genuine personal conviction. However, the articulation is not deeply distinctive from competitors like Robinhood and Webull, and the company is only 14 years old without having faced a sustained existential test. Community Impact (0/2): No evidence of significant charitable giving, community programs, or foundation activity was identified. The company's public communications focus almost entirely on growth metrics and financial performance. Employee Retention (0/2): No specific retention, tenure, or voluntary turnover data is publicly available. Glassdoor reviews for Futu Securities International show a 60% recommendation rate, which is average to below-average for the tech sector [2]. Insider Buying (0/2): No evidence of meaningful net insider buying was identified. CEO Li Hua faces a personal fine from the CSRC alongside the company's RMB 1.85B proposed penalty for unlicensed mainland China operations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Futu's financial profile is exceptionally strong across all measured dimensions. Profit margin of 46.2% reflects the capital-light digital brokerage model with high operating leverage [3]. ROE of 30.5% is well above the 15% target, demonstrating efficient capital allocation. Revenue growth of 35.6% YoY — driven by Q2 2026 revenue of HKD 7.2B (+36%) and record trading volume — far exceeds the 10% target [1]. Forward P/E of 9.02 is deeply discounted relative to the 20x target, reflecting China-related regulatory risk and VIE structure discount. D/E of 72.2% is marginally above the 70% target but nearly at target (score 0.990). Revenue growth 5yr CAGR and PEG ratio are unavailable and excluded from the calculation. The stock clears the liquidity floor with daily trading value of approximately $153M (1.38M shares x $111.36).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Futu demonstrates a mix of infinite and finite game characteristics. The company has pursued a genuine cause of democratizing investing for 14 years under founder Li Hua, and its continued global expansion and AI investment despite the $271M CSRC penalty show resilience. However, the regulatory violation itself — operating securities and fund sales business in mainland China without required licenses — reveals finite-game aggressiveness that prioritized growth over compliance [2]. The company has evolved meaningfully from a Hong Kong startup to a global platform but has not yet faced a transformative existential test.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Futu's purpose of democratizing investing through technology is genuine and has been partially validated by 14 years of consistent execution under founder Li Hua, who left a senior Tencent position to pursue this vision [2]. Strategic decisions — mobile-first platform design, commission-free model, global expansion across nine markets — clearly trace back to the democratization cause. However, the CSRC enforcement action for operating without required licenses introduces tension between the cause and its execution, and the company hasn't been tested through a prolonged existential crisis or multi-decade consistency.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Futu maintains a stable workforce of 3,540 employees with a flat, data-driven culture that emphasizes efficiency and open communication, avoiding the rigid hierarchy of traditional financial institutions [2]. Founder Li Hua's 14-year tenure provides leadership stability. However, the 60% Glassdoor recommendation rate is average at best, and no specific data on employee empowerment, voluntary turnover, or cultural practices that create psychological safety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management commentary acknowledging competitors' strengths as motivation for internal improvement. Futu's competitive strategy appears oriented toward capturing market share through aggressive geographic expansion and feature development, suggesting a finite competitive mindset focused on winning territory rather than learning from rivals like Interactive Brokers, Robinhood, or Tiger Brokers.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Futu has shown meaningful strategic evolution — expanding from a Hong Kong-focused Futubull platform to the international Moomoo brand, entering nine markets, and adding wealth management, algorithmic trading, and AI-powered features beyond basic brokerage [1]. The geographic diversification away from China (mainland now only ~13% of funded accounts) was a proactive strategic shift. These are real adaptations but represent extensions of the core digital brokerage model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Futu continued aggressive global expansion and invested in Futubull AI with DeepSeek integration even while facing the CSRC investigation and proposed $271M penalty, choosing to press forward with the globalization strategy rather than retreating [1][2]. The decision to absorb the fine and continue investing demonstrates some conviction in the long-term vision. However, the regulatory violation itself represents the opposite of principled leadership — prioritizing growth over compliance — and the company's strong cash position means this 'courage' carries limited financial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Futu Holdings at 9.02x forward earnings is a deeply discounted high-growth fintech delivering exceptional financial performance — Q2 2026 revenue of HKD 7.2B (+36% YoY) and net income of HKD 3.6B (+42%) demonstrate accelerating platform monetization with record trading volume [1]. Profit margin of 46.2%, ROE of 30.5%, and D/E of 72% reflect a capital-efficient, well-leveraged business model. The platform's 3.59 million funded accounts (+34% YoY) across nine markets provide a large and growing user base with significant lifetime value, while Futubull AI with DeepSeek integration positions the platform for the next wave of AI-powered retail investing [2]. The valuation discount versus global fintech peers trading at 15-25x forward earnings creates substantial rerating potential if regulatory overhang clears.</w:t>
      </w:r>
    </w:p>
    <w:p>
      <w:pPr>
        <w:spacing w:after="120"/>
      </w:pPr>
      <w:r>
        <w:rPr>
          <w:rFonts w:ascii="Calibri" w:hAnsi="Calibri"/>
          <w:b w:val="0"/>
          <w:color w:val="3A4A28"/>
          <w:sz w:val="20"/>
        </w:rPr>
        <w:t>The bear case centers on regulatory risk, geopolitical exposure, and governance concerns. The proposed CSRC fine of RMB 1.85B ($271M) for operating without required licenses in mainland China confirms regulatory enforcement risk and could escalate to operational restrictions or forced market exit [2]. The VIE corporate structure exposes US-listed shareholders to China-US geopolitical risk, potential delisting threats under HFCAA, and Beijing's evolving stance on overseas listings. The 60% Glassdoor recommendation rate, absence of meaningful community impact, and CEO personal fine suggest a company optimized for growth metrics rather than long-term organizational resilience. Revenue remains concentrated in Asia-Pacific brokerage, making it sensitive to regional market downturns and regulatory tightening. The Inspire Impact Score of 0 (MIXED) with no attributions either way provides no faith-alignment differentiation for values-oriented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CSRC penalty resolution at a manageable cost could remove the single largest regulatory overhang and allow the stock to rerate from 9x forward earnings toward the 15-25x range of global fintech peers [2]</w:t>
      </w:r>
    </w:p>
    <w:p>
      <w:pPr>
        <w:spacing w:before="40" w:after="40"/>
        <w:ind w:left="283"/>
      </w:pPr>
      <w:r>
        <w:rPr>
          <w:rFonts w:ascii="Calibri" w:hAnsi="Calibri"/>
          <w:b/>
          <w:color w:val="4A6B25"/>
          <w:sz w:val="20"/>
        </w:rPr>
        <w:t xml:space="preserve">2. </w:t>
      </w:r>
      <w:r>
        <w:rPr>
          <w:rFonts w:ascii="Calibri" w:hAnsi="Calibri"/>
          <w:b w:val="0"/>
          <w:color w:val="3A4A28"/>
          <w:sz w:val="20"/>
        </w:rPr>
        <w:t>Sustained 34% YoY funded account growth through new market expansion (Malaysia, Canada, and potential additional markets) would validate Futu's global platform thesis and reduce China revenue concentration [1]</w:t>
      </w:r>
    </w:p>
    <w:p>
      <w:pPr>
        <w:spacing w:before="40" w:after="40"/>
        <w:ind w:left="283"/>
      </w:pPr>
      <w:r>
        <w:rPr>
          <w:rFonts w:ascii="Calibri" w:hAnsi="Calibri"/>
          <w:b/>
          <w:color w:val="4A6B25"/>
          <w:sz w:val="20"/>
        </w:rPr>
        <w:t xml:space="preserve">3. </w:t>
      </w:r>
      <w:r>
        <w:rPr>
          <w:rFonts w:ascii="Calibri" w:hAnsi="Calibri"/>
          <w:b w:val="0"/>
          <w:color w:val="3A4A28"/>
          <w:sz w:val="20"/>
        </w:rPr>
        <w:t>Q2 2026 revenue beat of HKD 7.2B vs. HKD 5.91B expected suggests analyst models are systematically underestimating the growth trajectory, creating potential for continued positive earnings surprises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CSRC proposed fine of RMB 1.85B ($271M) for operating without required licenses could escalate to license revocation, operational restrictions, or forced exit from mainland China, which still represents a meaningful addressable market [2]</w:t>
      </w:r>
    </w:p>
    <w:p>
      <w:pPr>
        <w:spacing w:before="40" w:after="40"/>
        <w:ind w:left="283"/>
      </w:pPr>
      <w:r>
        <w:rPr>
          <w:rFonts w:ascii="Calibri" w:hAnsi="Calibri"/>
          <w:b/>
          <w:color w:val="4A6B25"/>
          <w:sz w:val="20"/>
        </w:rPr>
        <w:t xml:space="preserve">2. </w:t>
      </w:r>
      <w:r>
        <w:rPr>
          <w:rFonts w:ascii="Calibri" w:hAnsi="Calibri"/>
          <w:b w:val="0"/>
          <w:color w:val="3A4A28"/>
          <w:sz w:val="20"/>
        </w:rPr>
        <w:t>VIE corporate structure and US-China geopolitical tensions expose shareholders to potential NASDAQ delisting, HFCAA compliance requirements, or Beijing restrictions on overseas listings that could trigger sudden share price declines</w:t>
      </w:r>
    </w:p>
    <w:p>
      <w:pPr>
        <w:spacing w:before="40" w:after="40"/>
        <w:ind w:left="283"/>
      </w:pPr>
      <w:r>
        <w:rPr>
          <w:rFonts w:ascii="Calibri" w:hAnsi="Calibri"/>
          <w:b/>
          <w:color w:val="4A6B25"/>
          <w:sz w:val="20"/>
        </w:rPr>
        <w:t xml:space="preserve">3. </w:t>
      </w:r>
      <w:r>
        <w:rPr>
          <w:rFonts w:ascii="Calibri" w:hAnsi="Calibri"/>
          <w:b w:val="0"/>
          <w:color w:val="3A4A28"/>
          <w:sz w:val="20"/>
        </w:rPr>
        <w:t>Business model dependence on active retail trading volumes makes revenue inherently cyclical — a sustained downturn in Hong Kong or global equity markets would directly compress trading volume, margin lending, and platform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Futu's core brokerage, clearing, and custody business requires multi-jurisdictional licensing (SFC in Hong Kong, MAS in Singapore, SEC/FINRA in the US, FSA in Japan), creating regulatory moats that AI alone cannot bypass [2]. Switching costs are meaningful as clients must transfer assets, re-verify identity, and re-establish margin accounts across 3.59M funded accounts with HKD 1.22T in client assets. However, AI-powered robo-advisors and autonomous trading agents could compete for the same retail investor demographic, and AI-native platforms could replicate automated trading and portfolio analytics features that differentiate Futu's platform. The CSRC enforcement action highlights that regulatory compliance itself is a significant ongoing risk. AI Opportunity (1/1): Futu actively deploys AI through Futubull AI with DeepSeek integration, including AI-powered Insights for personalized investment recommendations, Option Strategy Builder, and Algo Trading features [2]. These shipping products enhance platform engagement and position Futu as an AI-enabled brokerage, contributing to the 34% YoY funded account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Futu Holdings Q2 2026 Earnings — Revenue HKD 7.2B (+36% YoY), Net Income HKD 3.6B (+42%), EPS 26.08 vs 25.85 est, 3.59M funded accounts (+34%), TradingKey/Investing.com, August 2026</w:t>
      </w:r>
    </w:p>
    <w:p>
      <w:pPr>
        <w:spacing w:before="20" w:after="20"/>
        <w:ind w:left="170"/>
      </w:pPr>
      <w:r>
        <w:rPr>
          <w:rFonts w:ascii="Calibri" w:hAnsi="Calibri"/>
          <w:b/>
          <w:color w:val="4A6B25"/>
          <w:sz w:val="15"/>
        </w:rPr>
        <w:t xml:space="preserve">2. </w:t>
      </w:r>
      <w:r>
        <w:rPr>
          <w:rFonts w:ascii="Calibri" w:hAnsi="Calibri"/>
          <w:b w:val="0"/>
          <w:color w:val="3A4A28"/>
          <w:sz w:val="17"/>
        </w:rPr>
        <w:t>Futu Holdings Leadership, Culture, CSRC Regulatory Action, and AI — CEO Li Hua (ex-Tencent), RMB 1.85B proposed fine, Futubull AI/DeepSeek, Glassdoor 60% recommend, Fortune/CBInsights/Glassdoor,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FUTU Key Statistics: Forward P/E 9.02, ROE 30.52%, Profit Margin 46.2%, D/E 72.24%, Stock Price $111.36,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