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FWRG</w:t>
      </w:r>
      <w:r>
        <w:rPr>
          <w:rFonts w:ascii="Calibri" w:hAnsi="Calibri"/>
          <w:b/>
          <w:color w:val="1A2010"/>
          <w:sz w:val="40"/>
        </w:rPr>
        <w:t xml:space="preserve">  First Watch Restaurant Group, Inc.</w:t>
      </w:r>
    </w:p>
    <w:p>
      <w:pPr>
        <w:spacing w:after="120"/>
      </w:pPr>
      <w:r>
        <w:rPr>
          <w:rFonts w:ascii="Calibri" w:hAnsi="Calibri"/>
          <w:b/>
          <w:color w:val="6E8450"/>
          <w:sz w:val="18"/>
        </w:rPr>
        <w:t>GROWTH SLEEVE · 2026-09-16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First Watch Restaurant Group operates and franchises daytime-only restaurants under the First Watch brand in the United States, serving breakfast, brunch, and lunch with a fresh, made-to-order menu featuring seasonal specials. Founded in 1983 and headquartered in Bradenton, Florida. As of Q2 2026, the company operated 649+ system-wide restaurants across 29 states with 18,000 employees. Q2 2026 revenue grew 15.2% YoY driven by 3.4% same-restaurant sales growth and strong new unit performance. FY2026 guidance calls for 12-14% revenue growth and 59-63 new system-wide restaurant openings [1].</w:t>
      </w:r>
    </w:p>
    <w:p>
      <w:r>
        <w:rPr>
          <w:rFonts w:ascii="Calibri" w:hAnsi="Calibri"/>
          <w:b/>
          <w:color w:val="6E8450"/>
          <w:sz w:val="18"/>
        </w:rPr>
        <w:t>18,000 Employees · https://www.firstwatch.com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First Watch has grown from approximately 400 to 649+ system-wide restaurants in 5 years, adding 67 over the trailing twelve months, but this is organic unit expansion of the same daytime-only dining concept that has been fundamentally unchanged since 1983 — not a product pivot or business model transformation [1]. AI Deployment (0/2): No evidence of AI-powered products or quantified AI-driven cost savings. The company uses standard operational tools (Power BI, Paradox Olivia chatbot for hiring) but acknowledges AI as a risk factor rather than a competitive advantage [3]. Market Share (1/2): First Watch is the largest daytime-only restaurant brand in the United States, a genuine niche leadership position in the breakfast/brunch segment, though it competes broadly against full-service chains, fast-casual, and independent restaurants [2]. Product Pipeline (1/2): FY2026 guidance calls for 59-63 new system-wide restaurants with 12-14% revenue growth, providing clear expansion visibility with specific unit targets [1][2]. However, same-restaurant sales guidance of just 1-3% signals limited organic innovation beyond unit replication. R&amp;D Intensity (0/1): Restaurants do not have traditional R&amp;D spending; seasonal menu innovation is standard for the casual dining category and does not represent above-industry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First Watch's 'You First' purpose centers on creating a daytime dining experience that prioritizes fresh food, genuine hospitality, and employee well-being. CEO Chris Tomasso's 20-year commitment to culture as the company's defining characteristic reflects specific intentionality that differentiates meaningfully from generic restaurant chains — culture IS the strategy, not just a slogan [3]. Chief People Officer Laura Sorensen's keynote on 'leaders bring the weather' reinforces that the purpose shapes leadership behavior. Community Impact (1/2): First Watch partners with local communities through restaurant-level charitable programs and provides meaningful employment to 18,000+ employees. No specific foundation or distinctive charitable programs with quantified dollar amounts were identified [3]. Employee Retention (2/2): CEO Tomasso outpaced the Most Loved Workplace Index best-in-class benchmark for CEOs for four consecutive years; First Watch earned Most Loved Workplace recognition from Newsweek [3]. The FARM training academy brings 25 managers monthly for week-long development sessions. Tomasso is known for eating in break rooms with line staff to break down corporate barriers — distinctive evidence of organizational investment in people for an 18,000-employee restaurant chain. Insider Buying (0/2): No evidence of meaningful open-market insider purchases in the past 12 months. Management equity exposure comes primarily through compensation packages rather than voluntary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is the standout: 15.2% YoY and an estimated ~18.7% 5-year CAGR both exceed the 10% target, both scoring perfectly with 2x weight on the 5yr CAGR [1][4]. D/E of 169% reflects significant expansion-related debt, scoring 0.568 between the 70% target and 300% floor. ROE of 2.88% is well below the 15% target, scoring just 0.192 with 2x weight — reflecting the thin profitability of a high-growth restaurant model [4]. Profit margin of 1.35% is razor-thin, scoring 0.068 against the 20% target. Forward P/E of 40.78x is elevated for a sub-2% margin business, scoring 0.481 — requiring sustained unit growth and margin recovery to justify the valuation [4]. PEG excluded (null). Liquidity floor cleared: 1.12M avg vol x $10.49 = $11.7M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First Watch demonstrates strong infinite game characteristics under CEO Chris Tomasso's 20-year tenure, with a culture-first 'You First' approach validated by the Most Loved Workplaces recognition and consistent growth. The principled refusal to add dinner service despite the revenue opportunity shows strategic discipline, and the FARM academy investment in people reflects genuine long-term thinking. However, the model has not been tested through a major crisis or leadership transition, and there is no evidence of existential flexibility since the company has operated the same concept since 1983.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First Watch's 'You First' philosophy — prioritizing culture, fresh food, and genuine hospitality in a daytime-only format — represents a genuine cause that connects the company's work to employee and customer well-being [3]. CEO Tomasso has maintained this purpose since joining in 2006, and the decision to remain daytime-only despite the obvious revenue opportunity of dinner service demonstrates that the cause shapes strategic decisions. Chief People Officer Sorensen's 'leaders bring the weather' philosophy reinforces that purpose drives behavior. However, the cause has not been tested through a major crisis or leadership transition beyond the current CEO era.</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Tomasso outpaced the Most Loved Workplace Index best-in-class benchmark for four consecutive years among 18,000+ employees, with First Watch earning Most Loved Workplace recognition from Newsweek [3]. The FARM training academy invests a full week monthly in 25 managers, and Tomasso's practice of eating in break rooms with line-level staff deliberately breaks down hierarchical barriers. The orderly CFO succession plan (Mel Hope retirement with structured transition) demonstrates organizational maturity. For a restaurant chain — an industry notorious for poor workplace culture — this is exceptional evidence of a high-trust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First Watch's competitive positioning focuses on building the best daytime dining brand through culinary innovation, culture, and hospitality rather than market share warfare against competitors [2][3]. Management commentary emphasizes same-restaurant sales quality and guest experience improvements over competitor displacement, reflecting an improvement-oriented competitive mindset consistent with Sinek's worthy rivals framework.</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First Watch has operated the same fundamental business model — daytime-only fresh casual dining — since its founding in 1983, a 43-year run of the same concept [2]. The company has not faced or executed a transformative strategic pivot. While the consistency reflects strategic conviction, it also means existential flexibility has never been tested. The refusal to add dinner service is strategic discipline, not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Remaining daytime-only despite the obvious and frequently suggested revenue opportunity of adding dinner service demonstrates the courage to sacrifice short-term growth for strategic clarity and brand integrity [2][3]. Continuing aggressive unit expansion (67 openings over the trailing twelve months) while maintaining culture standards and the FARM academy investment shows conviction. However, Q1 2026 produced a net loss of -$2.7M and Q2 same-restaurant traffic declined 2%, raising questions about whether the growth pace is sustainable without margin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Watch is the largest daytime-only restaurant brand in the US, delivering 15.2% revenue growth in Q2 2026 driven by 3.4% same-restaurant sales growth and new unit openings across 649+ system-wide locations in 29 states [1]. The differentiated model — fresh, made-to-order breakfast/brunch with no dinner service — creates operational simplicity, a distinctive brand identity, and a culture that earned CEO Tomasso the Most Loved Workplace CEO benchmark for four consecutive years [3]. FY2026 guidance of 12-14% revenue growth with 59-63 new openings provides multi-year visibility, and the long runway for unit growth (still primarily in the Eastern US with significant whitespace) underpins the expansion story. At $10.49, the stock has pulled back 57% from its 2024 highs, creating a more reasonable entry point for believers in the long-term unit growth thesis [4].</w:t>
      </w:r>
    </w:p>
    <w:p>
      <w:pPr>
        <w:spacing w:after="120"/>
      </w:pPr>
      <w:r>
        <w:rPr>
          <w:rFonts w:ascii="Calibri" w:hAnsi="Calibri"/>
          <w:b w:val="0"/>
          <w:color w:val="3A4A28"/>
          <w:sz w:val="20"/>
        </w:rPr>
        <w:t>The bear case centers on margin fragility, leverage, and valuation premium. Q1 2026 produced a net loss of -$2.7M with profit margin of just 1.35% and ROE of 2.88%, exposing the thin economics of a high-growth, labor-intensive restaurant model [1][4]. D/E of 169% reflects significant debt funding the expansion at a time when same-restaurant traffic is declining (down 2% in Q2 despite 3.4% SSS growth from pricing). Forward P/E of 40.78x is elevated for a sub-2% margin business, requiring flawless execution on both unit growth and margin recovery [4]. Same-restaurant sales are decelerating from 3.6% in FY2025 to guidance of just 1-3%, suggesting limited organic pricing power as consumer spending tightens. CFO Mel Hope's retirement adds transition risk during a critical growth phase. The breakfast/brunch segment faces increasing competition as larger chains expand morning offerings, and labor cost inflation (18,000 employees) remains an ongoing margin headwind. Free cash flow of -$42.8M trailing demonstrates the capital intensity of the current growth phase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59-63 planned new restaurant openings in FY2026 with 12-14% revenue growth guidance, extending the multi-year unit expansion story into whitespace markets across the US [1][2]</w:t>
      </w:r>
    </w:p>
    <w:p>
      <w:pPr>
        <w:spacing w:before="40" w:after="40"/>
        <w:ind w:left="283"/>
      </w:pPr>
      <w:r>
        <w:rPr>
          <w:rFonts w:ascii="Calibri" w:hAnsi="Calibri"/>
          <w:b/>
          <w:color w:val="4A6B25"/>
          <w:sz w:val="20"/>
        </w:rPr>
        <w:t xml:space="preserve">2. </w:t>
      </w:r>
      <w:r>
        <w:rPr>
          <w:rFonts w:ascii="Calibri" w:hAnsi="Calibri"/>
          <w:b w:val="0"/>
          <w:color w:val="3A4A28"/>
          <w:sz w:val="20"/>
        </w:rPr>
        <w:t>Margin recovery expected as new units mature and operating leverage builds on the larger restaurant base, with FY2026 adjusted EBITDA guided at $132-140M versus ~$121M in FY2025 [1]</w:t>
      </w:r>
    </w:p>
    <w:p>
      <w:pPr>
        <w:spacing w:before="40" w:after="40"/>
        <w:ind w:left="283"/>
      </w:pPr>
      <w:r>
        <w:rPr>
          <w:rFonts w:ascii="Calibri" w:hAnsi="Calibri"/>
          <w:b/>
          <w:color w:val="4A6B25"/>
          <w:sz w:val="20"/>
        </w:rPr>
        <w:t xml:space="preserve">3. </w:t>
      </w:r>
      <w:r>
        <w:rPr>
          <w:rFonts w:ascii="Calibri" w:hAnsi="Calibri"/>
          <w:b w:val="0"/>
          <w:color w:val="3A4A28"/>
          <w:sz w:val="20"/>
        </w:rPr>
        <w:t>Stock pullback of 57% from 2024 highs creates potential value entry point for a differentiated growth concept with a long unit growth runway and a Most Loved Workplace culture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1.35% and Q1 2026 net loss of -$2.7M expose the fragility of the expansion model — any revenue miss, cost inflation, or same-restaurant traffic deceleration could deepen losses [1][4]</w:t>
      </w:r>
    </w:p>
    <w:p>
      <w:pPr>
        <w:spacing w:before="40" w:after="40"/>
        <w:ind w:left="283"/>
      </w:pPr>
      <w:r>
        <w:rPr>
          <w:rFonts w:ascii="Calibri" w:hAnsi="Calibri"/>
          <w:b/>
          <w:color w:val="4A6B25"/>
          <w:sz w:val="20"/>
        </w:rPr>
        <w:t xml:space="preserve">2. </w:t>
      </w:r>
      <w:r>
        <w:rPr>
          <w:rFonts w:ascii="Calibri" w:hAnsi="Calibri"/>
          <w:b w:val="0"/>
          <w:color w:val="3A4A28"/>
          <w:sz w:val="20"/>
        </w:rPr>
        <w:t>D/E of 169% with negative free cash flow (-$42.8M trailing) requires continued capital markets access to fund new restaurant buildout capex, creating dilution or refinancing risk [4]</w:t>
      </w:r>
    </w:p>
    <w:p>
      <w:pPr>
        <w:spacing w:before="40" w:after="40"/>
        <w:ind w:left="283"/>
      </w:pPr>
      <w:r>
        <w:rPr>
          <w:rFonts w:ascii="Calibri" w:hAnsi="Calibri"/>
          <w:b/>
          <w:color w:val="4A6B25"/>
          <w:sz w:val="20"/>
        </w:rPr>
        <w:t xml:space="preserve">3. </w:t>
      </w:r>
      <w:r>
        <w:rPr>
          <w:rFonts w:ascii="Calibri" w:hAnsi="Calibri"/>
          <w:b w:val="0"/>
          <w:color w:val="3A4A28"/>
          <w:sz w:val="20"/>
        </w:rPr>
        <w:t>Same-restaurant traffic declining despite positive SSS growth (pricing-driven) signals weakening consumer demand in the breakfast segment, with FY2026 SSS guidance of just 1-3%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Restaurant dining is a fundamentally physical experience — AI cannot replicate fresh, made-to-order meal preparation, in-person hospitality, or the social occasion of breakfast/brunch dining [2]. First Watch's daytime-only model is especially protected because breakfast/brunch is experiential and inherently resists digital substitution. AI-driven restaurant competition (ghost kitchens, robotic food prep) targets quick-service and delivery, not sit-down daytime dining. Industry-level AI adoption — automated ordering, predictive staffing, kitchen optimization — represents operational efficiency tools that could benefit margins rather than threaten the business model [3]. First Watch acknowledges AI as a risk factor in its 10-K but the risks cited are reputational (social media AI) and talent-related rather than business model substitution. AI Opportunity (0/1): No evidence of AI-generated revenue. The company uses standard technology tools but does not monetize AI in any 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Watch Restaurant Group Q1-Q2 2026 Financial Results — Q1 Revenue $331M (+17.3%), Q2 Revenue +15.2%, SSS +3.4%, Net Loss Q1 -$2.7M, FY2026 Guidance 12-14% Revenue Growth, 59-63 New Restaurants, May-July 2026</w:t>
      </w:r>
    </w:p>
    <w:p>
      <w:pPr>
        <w:spacing w:before="20" w:after="20"/>
        <w:ind w:left="170"/>
      </w:pPr>
      <w:r>
        <w:rPr>
          <w:rFonts w:ascii="Calibri" w:hAnsi="Calibri"/>
          <w:b/>
          <w:color w:val="4A6B25"/>
          <w:sz w:val="15"/>
        </w:rPr>
        <w:t xml:space="preserve">2. </w:t>
      </w:r>
      <w:r>
        <w:rPr>
          <w:rFonts w:ascii="Calibri" w:hAnsi="Calibri"/>
          <w:b w:val="0"/>
          <w:color w:val="3A4A28"/>
          <w:sz w:val="17"/>
        </w:rPr>
        <w:t>First Watch Restaurant Group FY2025 Annual Results — $1.2B Revenue, 633 Restaurants, 64 Openings, FY2026 Outlook, March 2026</w:t>
      </w:r>
    </w:p>
    <w:p>
      <w:pPr>
        <w:spacing w:before="20" w:after="20"/>
        <w:ind w:left="170"/>
      </w:pPr>
      <w:r>
        <w:rPr>
          <w:rFonts w:ascii="Calibri" w:hAnsi="Calibri"/>
          <w:b/>
          <w:color w:val="4A6B25"/>
          <w:sz w:val="15"/>
        </w:rPr>
        <w:t xml:space="preserve">3. </w:t>
      </w:r>
      <w:r>
        <w:rPr>
          <w:rFonts w:ascii="Calibri" w:hAnsi="Calibri"/>
          <w:b w:val="0"/>
          <w:color w:val="3A4A28"/>
          <w:sz w:val="17"/>
        </w:rPr>
        <w:t>Most Loved Workplace, CEO Tomasso Culture Profile — FARM Academy, 'You First' Culture, Chief People Officer Laura Sorensen, CFO Mel Hope Retirement,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FWRG Key Statistics: Stock Price $10.49, Forward P/E 40.78x, D/E 169%, ROE 2.88%, Profit Margin 1.35%, Avg Volume 1.12M,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