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GAM</w:t>
      </w:r>
      <w:r>
        <w:rPr>
          <w:rFonts w:ascii="Calibri" w:hAnsi="Calibri"/>
          <w:b/>
          <w:color w:val="1A2010"/>
          <w:sz w:val="40"/>
        </w:rPr>
        <w:t xml:space="preserve">  General American Investors Company, Inc.</w:t>
      </w:r>
    </w:p>
    <w:p>
      <w:pPr>
        <w:spacing w:after="120"/>
      </w:pPr>
      <w:r>
        <w:rPr>
          <w:rFonts w:ascii="Calibri" w:hAnsi="Calibri"/>
          <w:b/>
          <w:color w:val="6E8450"/>
          <w:sz w:val="18"/>
        </w:rPr>
        <w:t>DIVIDEND SLEEVE · 2026-10-11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NYQ · United States</w:t>
      </w:r>
    </w:p>
    <w:p>
      <w:pPr>
        <w:spacing w:after="80"/>
      </w:pPr>
      <w:r>
        <w:rPr>
          <w:rFonts w:ascii="Calibri" w:hAnsi="Calibri"/>
          <w:b w:val="0"/>
          <w:color w:val="3A4A28"/>
          <w:sz w:val="20"/>
        </w:rPr>
        <w:t>General American Investors Company is a closed-end investment management company founded in 1927, investing in US public equity markets with a focus on growth stocks. The firm employs fundamental analysis with a bottom-up stock-picking approach across Information Technology, Financials, Consumer Staples, Consumer Discretionary, Industrials, Healthcare, Energy, and Materials sectors. Based in New York City, GAM conducts in-house research and had H1 2026 investment revenue of $12.67M alongside net income of $187.2M driven by portfolio investment gains. It trades at approximately 0.89x book value ($64.71 vs. NAV of $73.08).</w:t>
      </w:r>
    </w:p>
    <w:p>
      <w:r>
        <w:rPr>
          <w:rFonts w:ascii="Calibri" w:hAnsi="Calibri"/>
          <w:b/>
          <w:color w:val="6E8450"/>
          <w:sz w:val="18"/>
        </w:rPr>
        <w:t>https://www.generalamericaninvestors.com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GAM has operated the same closed-end equity investment strategy for nearly 100 years with no product launches, market pivots, or business model transformations in the last 5 years — the fund continues to conduct fundamental bottom-up stock selection in US equities as it has since 1927 [1]. AI Deployment (0/2): No AI-powered investment tools, AI-driven analytics platforms, or quantified AI-related efficiencies have been disclosed; the company's research approach appears traditional and fundamentals-based. Market Share (0/2): With approximately $1.5B in market cap, GAM is a tiny participant in the multi-trillion-dollar US asset management industry, holding negligible share and no category-defining position. Product Pipeline (0/2): As a closed-end fund, there is no product pipeline — the company does not develop or launch new investment products; its sole activity is managing a single equity portfolio. R&amp;D Intensity (1/1): While the firm lacks formal R&amp;D spend, its primary activity IS investment research — a team of analysts conducts in-house fundamental research that represents the firm's core competency, functionally equivalent to R&amp;D for its industry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GAM's stated purpose is generic — it 'invests in the public equity markets of United States' and 'invests in growth stocks' using fundamental analysis [1]. This is a description of activity, not a purpose statement, and is interchangeable with hundreds of equity investment vehicles. No distinctive vision of a better future or deeper purpose is articulated beyond capital appreciation. Community Impact (0/2): No evidence of charitable programs, community foundations, or measurable social initiatives beyond standard corporate governance for a closed-end fund. Employee Retention (0/2): Employee count is unavailable (very small organization), and no retention data, average tenure figures, or cultural indicators are publicly disclosed. Insider Buying (1/2): Chairman Spencer Davidson purchased $648K of shares in September 2026, and CFO Eugene Stark bought $10K in July 2025, with officer Anang Majmudar adding $21K in December 2024 — some insider conviction, with Davidson's purchase being meaningful, but modest in aggregate outside the Chairman's personal stake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GAM's financial profile is anchored by minimal leverage — D/E of 0.08% (score 1.0) with only $1.5M in debt against $1.8M in cash reflects conservative balance sheet management appropriate for a nearly century-old closed-end fund [3]. ROE of 20.9% exceeds the 15% target (score 1.0), driven by investment gains in the portfolio. Revenue growth of 0.9% YoY is modest (score 0.70), reflecting the relatively flat investment income compared to volatile capital gains. Profit margin of 15.4% (score 0.77) reflects operating expenses against investment income. Payout ratio of approximately 40% (score 1.0) is well-managed, with $6.40 in trailing annual distributions against $15.94 EPS. The fund has paid distributions for 22+ consecutive years (score 1.0, 2x weight), spanning the dot-com bust, financial crisis, and COVID — though distributions are variable capital gains, not fixed dividends. Consecutive years of distribution growth stands at 3 (score 0.3) as distributions fell from $3.30 in 2021 to $1.50 in 2022 before recovering. Daily dollar volume of $1.23M ($64.71 × 18,940 shares) is above the $1M liquidity floor but provides limited trading capacity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General American Investors exemplifies remarkable institutional persistence — operating continuously since 1927 through the Great Depression, World War II, multiple recessions, the dot-com bust, the 2008 financial crisis, and COVID. The company's unwavering commitment to fundamental equity research for nearly a century demonstrates the kind of patient, long-term thinking Sinek values. However, the lack of a transformative Just Cause (beyond wealth generation through stock picking) and the absence of evidence for organizational reinvention or courageous leadership decisions limit the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GAM has maintained a consistent commitment to long-term equity investing through fundamental research for 99 years, surviving every major market crisis of the 20th and 21st centuries [1]. The persistence of purpose across nearly a century is remarkable and demonstrates the kind of multi-generational commitment Sinek values. However, the purpose — generating returns through stock selection — is ultimately a financial objective rather than a vision of a better future. Sinek would acknowledge the consistency while noting that wealth creation alone does not constitute a Just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GAM operates as a small, stable investment team with consistent leadership. Chairman Spencer Davidson's substantial personal investment ($648K purchased in September 2026) suggests alignment between leadership and shareholders [2]. The compact organizational structure — no reported layoffs, no restructurings, no cultural controversies over the company's history — implies adequate trust but provides insufficient evidence to distinguish GAM from any other small, stable financial firm.</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GAM operates in a closed-end fund universe alongside substantially larger competitors (Gabelli, Adams Diversified, Tri-Continental) and has never attempted aggressive marketing, acquisitions, or competitive attacks. The company's language in shareholder communications focuses on its own investment process and portfolio construction rather than competitive positioning, suggesting an inward focus on self-improvement consistent with Sinek's infinite competitive mindset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99 years, GAM has adapted its portfolio composition to reflect the evolution of the US economy — shifting sector weights from industrials and railroads in the early 20th century to technology and healthcare today [1]. The company has navigated fundamental market structure changes including the rise of electronic trading, passive investing, and quantitative strategies. These are incremental adaptations, not transformative reinventions, but the cumulative effect of continuous evolution across a century demonstrates institutional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GAM has maintained its active, fundamental investment approach despite decades of secular pressure from passive indexing and quantitative strategies that have driven many active managers out of business. Staying committed to human-driven stock selection when the industry trend favors algorithmic and passive approaches requires conviction. However, there are no specific examples of costly leadership decisions — no documented cases of GAM walking away from revenue, making contrarian bets during crises, or taking principled stands that sacrificed short-term performance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General American Investors at $64.71 with a $1.54B market cap is a 99-year-old closed-end equity fund trading at an 11.5% discount to NAV ($73.08 book value per share), offering deep value for patient investors who want actively managed US equity exposure with capital gains distributions [1][3]. The fund posted trailing EPS of $15.94 (P/E of 4.06x) driven by portfolio investment gains, with H1 2026 net income of $187.2M reflecting strong equity market performance. The balance sheet is pristine — D/E of 0.08% with essentially zero leverage and ROE of 20.9%. Capital returns are substantial with trailing annual distributions of $6.40/share (9.89% yield), and Chairman Davidson's $648K September 2026 open-market purchase signals insider confidence [2].</w:t>
      </w:r>
    </w:p>
    <w:p>
      <w:pPr>
        <w:spacing w:after="120"/>
      </w:pPr>
      <w:r>
        <w:rPr>
          <w:rFonts w:ascii="Calibri" w:hAnsi="Calibri"/>
          <w:b w:val="0"/>
          <w:color w:val="3A4A28"/>
          <w:sz w:val="20"/>
        </w:rPr>
        <w:t>The bear case centers on structural headwinds facing active closed-end funds and GAM's extreme illiquidity. Average daily volume of only 18,940 shares ($1.23M daily dollar volume) makes this functionally untradeable for institutional investors and barely clears the IOWN $1M liquidity floor [3]. The fund's performance depends entirely on portfolio manager stock selection in an era when passive indexing consistently outperforms most active managers — GAM provides no transparency on returns relative to the S&amp;P 500 in the data reviewed. Revenue of just $24.4M (investment income excluding gains) is modest and grew only 0.9% YoY, while the fund's distributions are variable capital gains, not reliable dividends — annual payouts ranged from $0.23 (2020) to $6.65 (2025), making income planning impossible. The persistent NAV discount of ~11% suggests the market assigns a structural penalty to the closed-end format, and without a catalyst to close this discount (activist pressure, tender offers, or open-ending), investors may hold dead capital. Forward P/E is unavailable, preventing valuation analysis relative to underlying portfolio composition.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11.5% discount to NAV ($64.71 vs. $73.08 book value) creates embedded upside if the gap narrows through portfolio appreciation, share buybacks, or increased investor interest in active equity exposure during market dislocations [3]</w:t>
      </w:r>
    </w:p>
    <w:p>
      <w:pPr>
        <w:spacing w:before="40" w:after="40"/>
        <w:ind w:left="283"/>
      </w:pPr>
      <w:r>
        <w:rPr>
          <w:rFonts w:ascii="Calibri" w:hAnsi="Calibri"/>
          <w:b/>
          <w:color w:val="4A6B25"/>
          <w:sz w:val="20"/>
        </w:rPr>
        <w:t xml:space="preserve">2. </w:t>
      </w:r>
      <w:r>
        <w:rPr>
          <w:rFonts w:ascii="Calibri" w:hAnsi="Calibri"/>
          <w:b w:val="0"/>
          <w:color w:val="3A4A28"/>
          <w:sz w:val="20"/>
        </w:rPr>
        <w:t>Trailing annual distributions of $6.40/share (9.89% yield) backed by realized portfolio gains, with Chairman Davidson's $648K September 2026 open-market purchase signaling insider conviction in the portfolio's forward return potential [2]</w:t>
      </w:r>
    </w:p>
    <w:p>
      <w:pPr>
        <w:spacing w:before="40" w:after="40"/>
        <w:ind w:left="283"/>
      </w:pPr>
      <w:r>
        <w:rPr>
          <w:rFonts w:ascii="Calibri" w:hAnsi="Calibri"/>
          <w:b/>
          <w:color w:val="4A6B25"/>
          <w:sz w:val="20"/>
        </w:rPr>
        <w:t xml:space="preserve">3. </w:t>
      </w:r>
      <w:r>
        <w:rPr>
          <w:rFonts w:ascii="Calibri" w:hAnsi="Calibri"/>
          <w:b w:val="0"/>
          <w:color w:val="3A4A28"/>
          <w:sz w:val="20"/>
        </w:rPr>
        <w:t>Nearly 100 years of institutional continuity provides a proven track record through every major market crisis of the modern era, offering investors a differentiated active equity vehicle with time-tested fundamental research capabilities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with average daily volume of only 18,940 shares ($1.23M daily dollar volume) makes position-building and liquidation difficult, limits institutional interest, and creates significant market impact risk on any meaningful trade [3]</w:t>
      </w:r>
    </w:p>
    <w:p>
      <w:pPr>
        <w:spacing w:before="40" w:after="40"/>
        <w:ind w:left="283"/>
      </w:pPr>
      <w:r>
        <w:rPr>
          <w:rFonts w:ascii="Calibri" w:hAnsi="Calibri"/>
          <w:b/>
          <w:color w:val="4A6B25"/>
          <w:sz w:val="20"/>
        </w:rPr>
        <w:t xml:space="preserve">2. </w:t>
      </w:r>
      <w:r>
        <w:rPr>
          <w:rFonts w:ascii="Calibri" w:hAnsi="Calibri"/>
          <w:b w:val="0"/>
          <w:color w:val="3A4A28"/>
          <w:sz w:val="20"/>
        </w:rPr>
        <w:t>Variable capital gains distributions ranging from $0.23 (2020) to $6.65 (2025) provide unreliable income — distributions depend entirely on realized portfolio gains that fluctuate with equity market conditions, making GAM unsuitable as a predictable income vehicle [3]</w:t>
      </w:r>
    </w:p>
    <w:p>
      <w:pPr>
        <w:spacing w:before="40" w:after="40"/>
        <w:ind w:left="283"/>
      </w:pPr>
      <w:r>
        <w:rPr>
          <w:rFonts w:ascii="Calibri" w:hAnsi="Calibri"/>
          <w:b/>
          <w:color w:val="4A6B25"/>
          <w:sz w:val="20"/>
        </w:rPr>
        <w:t xml:space="preserve">3. </w:t>
      </w:r>
      <w:r>
        <w:rPr>
          <w:rFonts w:ascii="Calibri" w:hAnsi="Calibri"/>
          <w:b w:val="0"/>
          <w:color w:val="3A4A28"/>
          <w:sz w:val="20"/>
        </w:rPr>
        <w:t>Secular headwinds from passive indexing and AI-driven quantitative strategies continue to pressure active management — GAM's fundamental stock-picking approach faces sustained competitive pressure from low-cost alternatives that have consistently outperformed the median active manager over the past two decades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GAM's closed-end fund structure is legally and structurally protected from AI disruption — the fund is a pool of capital that owns equities, and no AI system can replace the legal entity or its claim on portfolio assets [1]. The core vulnerability is that AI-driven quantitative strategies and passive indexing continue to pressure active stock pickers, a secular trend that predates generative AI but could accelerate as AI improves algorithmic portfolio management. However, GAM's fundamental, bottom-up approach with a 99-year track record serves a specific investor base that values human judgment and long-term conviction. The closed-end fund structure itself — trading on an exchange, not subject to daily redemptions — provides structural resilience that open-end active managers lack. AI Opportunity (0/1): No AI-related revenue streams; the fund does not offer AI-powered products, AI-enhanced analytics to external clients, or any other AI monetization.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General American Investors Company Profile — Founded 1927, bottom-up fundamental equity investing, closed-end fund structure — generalamericaninvestors.com, H1 2026 Semi-Annual Report</w:t>
      </w:r>
    </w:p>
    <w:p>
      <w:pPr>
        <w:spacing w:before="20" w:after="20"/>
        <w:ind w:left="170"/>
      </w:pPr>
      <w:r>
        <w:rPr>
          <w:rFonts w:ascii="Calibri" w:hAnsi="Calibri"/>
          <w:b/>
          <w:color w:val="4A6B25"/>
          <w:sz w:val="15"/>
        </w:rPr>
        <w:t xml:space="preserve">2. </w:t>
      </w:r>
      <w:r>
        <w:rPr>
          <w:rFonts w:ascii="Calibri" w:hAnsi="Calibri"/>
          <w:b w:val="0"/>
          <w:color w:val="3A4A28"/>
          <w:sz w:val="17"/>
        </w:rPr>
        <w:t>GAM Insider Transactions — Chairman Spencer Davidson $648K purchase (September 2026), CFO Eugene Stark $10K (July 2025), officer Anang Majmudar $21K (December 2024) — SEC filings</w:t>
      </w:r>
    </w:p>
    <w:p>
      <w:pPr>
        <w:spacing w:before="20" w:after="20"/>
        <w:ind w:left="170"/>
      </w:pPr>
      <w:r>
        <w:rPr>
          <w:rFonts w:ascii="Calibri" w:hAnsi="Calibri"/>
          <w:b/>
          <w:color w:val="4A6B25"/>
          <w:sz w:val="15"/>
        </w:rPr>
        <w:t xml:space="preserve">3. </w:t>
      </w:r>
      <w:r>
        <w:rPr>
          <w:rFonts w:ascii="Calibri" w:hAnsi="Calibri"/>
          <w:b w:val="0"/>
          <w:color w:val="3A4A28"/>
          <w:sz w:val="17"/>
        </w:rPr>
        <w:t>Yahoo Finance — GAM key statistics, price $64.71, avg volume 18,940, market cap $1.54B, P/E 4.06, ROE 20.9%, book value $73.08,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