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GAP</w:t>
      </w:r>
      <w:r>
        <w:rPr>
          <w:rFonts w:ascii="Calibri" w:hAnsi="Calibri"/>
          <w:b/>
          <w:color w:val="1A2010"/>
          <w:sz w:val="40"/>
        </w:rPr>
        <w:t xml:space="preserve">  Gap Inc.</w:t>
      </w:r>
    </w:p>
    <w:p>
      <w:pPr>
        <w:spacing w:after="120"/>
      </w:pPr>
      <w:r>
        <w:rPr>
          <w:rFonts w:ascii="Calibri" w:hAnsi="Calibri"/>
          <w:b/>
          <w:color w:val="6E8450"/>
          <w:sz w:val="18"/>
        </w:rPr>
        <w:t>GROWTH SLEEVE · 2026-10-15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NYSE · United States</w:t>
      </w:r>
    </w:p>
    <w:p>
      <w:pPr>
        <w:spacing w:after="80"/>
      </w:pPr>
      <w:r>
        <w:rPr>
          <w:rFonts w:ascii="Calibri" w:hAnsi="Calibri"/>
          <w:b w:val="0"/>
          <w:color w:val="3A4A28"/>
          <w:sz w:val="20"/>
        </w:rPr>
        <w:t>Gap Inc. is one of the largest specialty apparel retailers in the world, operating four brands: Old Navy (value-oriented, ~57% of revenue), Gap (mid-market, ~23%), Banana Republic (premium, ~12%), and Athleta (athleisure, ~8%). Under CEO Richard Dickson (joined August 2023, ex-Mattel COO), the company posted nine consecutive quarters of positive comparable sales through Q1 FY2026 before Q2 comps turned negative at -1%. Q2 FY2026 revenue was $3.65B (-2% YoY) with full-year guidance of $15.52-15.60B and raised EPS guidance of $2.35-2.45. Market cap approximately $8.0B at $22.67/share.</w:t>
      </w:r>
    </w:p>
    <w:p>
      <w:r>
        <w:rPr>
          <w:rFonts w:ascii="Calibri" w:hAnsi="Calibri"/>
          <w:b/>
          <w:color w:val="6E8450"/>
          <w:sz w:val="18"/>
        </w:rPr>
        <w:t>82,000 Employees · https://www.gapinc.com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Richard Dickson's turnaround produced nine consecutive quarters of positive consolidated comparable sales through Q1 FY2026, with Gap brand posting 10% comp growth in Q1 — the strongest brand performance in years [1]. Dickson brought brand-building expertise from his Barbie revival at Mattel, reinjecting cultural relevance through celebrity partnerships and trend-right product. However, Q2 comps turned negative at -1% and Athleta comps declined 11% in Q1, showing the turnaround is uneven and may be losing momentum [2]. AI Deployment (1/2): Gap established a dedicated AI innovation unit in 2024 under CTO Sven Gerjets and signed a multi-year Google Cloud partnership in October 2025 to build an AI-powered platform across product creation, customer experience, and employee enablement [3]. AI-driven marketing workflows are being deployed across the brand portfolio. However, no specific cost savings or AI-driven revenue figures have been quantified. Market Share (1/2): Old Navy is the largest value-oriented apparel brand in the U.S. with approximately $8B in annual sales. Gap, Banana Republic, and Athleta hold challenged positions against Zara, H&amp;M, Uniqlo, and Lululemon respectively, with flat-to-declining overall revenue suggesting share loss in the broader market. Product Pipeline (1/2): Dickson's brand revitalization roadmap spans all four brands with store refreshes, product repositioning, and digital experience upgrades, but no specific next-generation products are named with launch dates or revenue visibility. R&amp;D Intensity (0/1): Gap does not report R&amp;D spending as a retail company; CapEx of approximately $650M for FY2026 includes technology and store investment but is standard for the industry, not above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Gap Inc.'s stated purpose — 'purpose-led, performance-driven' — provides a framework but lacks the specificity of strong missions. The company's 57-year heritage of making quality, accessible fashion available broadly (especially through Old Navy's value positioning) represents a genuine if not distinctive purpose that clearly guides Old Navy's strategy [1]. Dickson has injected clearer brand positioning and cultural relevance, but the mission remains fundamentally commercial. Community Impact (1/2): Gap maintains extensive ESG reporting aligned with TCFD, SASB, and GRI frameworks, achieving a 70% reduction in Scope 1&amp;2 emissions from 2017 baseline and 46% renewable electricity in direct operations [4]. The Inspire Impact Score of 48 (ALIGNED) with 14 positive attributions validates genuine breadth of positive impact. However, the Business &amp; Human Rights Resource Centre Fashion Checker found no evidence that Gap's suppliers pay workers a living wage, creating tension between stated values and supply chain reality [4]. Employee Retention (1/2): Glassdoor reviews describe a creative work environment with strong cross-functional partnerships, but also cite complex decision-making processes, shifting priorities, and high workload intensity [3]. The CEO transition from Syngal to interim leadership to Dickson within 18 months (2022-2023) created leadership instability that is still being resolved. Insider Buying (0/2): No evidence of meaningful net insider buying by executives in the last 12 months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Gap's valuation is the standout — forward PE of 8.60 scores perfectly against the 20 target (score 1.0, 1x weight) [5]. ROE of 33.78% significantly exceeds the 15% target (score 1.0, 2x weight), demonstrating strong capital efficiency despite thin retail margins. D/E of 144.77% (including operating lease liabilities standard for retail) scores 0.68 (1x weight). Revenue growth is weak — YoY revenue declined 2.0% (score 0.60, 1x weight) and the estimated 5-year CAGR of approximately 2% (score 0.47, 2x weight) reflects the company has barely recovered from its FY2022 peak of $16.7B [2]. Profit margin of 8.14% is below the 20% target (score 0.41, 1x weight), typical for apparel retail but limiting the infrastructure score. Forward PEG excluded as unavailable. Weighted sum of 5.62 on 8 available weight units yields 7.0. Liquidity floor easily met: daily dollar volume approximately $155M.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Gap demonstrates evolving infinite game characteristics under Richard Dickson's leadership transformation, showing willingness to reinvent brands, embrace AI technology, and accept short-term disruption for long-term brand health [1][3]. The company's 57-year history of surviving multiple retail cycles — from mall dominance to fast fashion to e-commerce disruption — demonstrates institutional resilience. The Inspire Impact Score of 48 (ALIGNED) reflects genuine stakeholder commitment. However, Q2 comps turning negative after nine positive quarters raises questions about transformation durability, and Gap has a documented history of turnarounds that fade under successive CEOs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Gap's implicit cause — making quality, accessible fashion available to everyone — is partially lived through Old Navy's value positioning and the brand's 57-year history of serving a broad consumer base. The Inspire Impact Score of 48 (ALIGNED) with 14 positive attributions across environmental, labor, and governance dimensions validates genuine stakeholder commitment beyond pure profit [4]. Dickson references cultural relevance and brand purpose in strategic decisions. However, 'purpose-led, performance-driven' lacks the emotional conviction and specificity that separates strong causes from corporate positioning statements.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 creative culture with strong cross-functional partnerships and inclusivity [3]. The 82,000-employee organization has maintained operational continuity through multiple CEO transitions. However, complex decision-making processes, shifting priorities, and workload intensity that varies by team indicate organizational friction. The rapid CEO transitions (Syngal to interim to Dickson within 18 months, 2022-2023) created leadership instability that undermines deep institutional trust. Retail inherently has high hourly employee turnover that limits organization-wide trust formation.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Gap competes against Zara (Inditex), H&amp;M, Uniqlo, and Lululemon, using each rival's strengths as motivation for improvement rather than engaging in destructive price wars. Dickson's approach — importing brand-building expertise from Mattel's Barbie revival — reflects willingness to learn from outside the category and apply best practices from other industries [1]. The decision to invest in brand equity and cultural relevance rather than pure price competition against Shein demonstrates strategic maturity that prioritizes self-improvement over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Gap has evolved across retail eras — from mall anchor to standalone stores, from domestic to global, from physical to omnichannel. Dickson's transformation applies consumer products brand-building principles to a retail company, a conceptual pivot [1]. The establishment of a dedicated AI unit and Google Cloud partnership shows willingness to embrace technology-driven change [3]. However, the business model remains fundamentally unchanged — Gap is still a specialty apparel retailer operating four brands through stores and e-commerce. No transformative reinvention comparable to Apple's iPod-to-iPhone shift.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Dickson's appointment represented a bold external hire — a non-retail executive brought in to apply consumer products brand-building expertise to a struggling retailer [1]. The decision to invest in AI infrastructure through the Google Cloud partnership while simultaneously raising the dividend and executing aggressive buybacks shows confidence in the transformation [3]. However, Gap has not yet made the truly difficult strategic decisions — closing underperforming Athleta stores, exiting weak international markets, or fundamentally restructuring the brand portfolio — that would demonstrate full courage to prioritize long-term capability over short-term revenue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Gap Inc. at 8.60x forward earnings is a value turnaround play at a critical juncture — nine consecutive quarters of positive comparable sales ended in Q2 FY2026 with comps turning negative at -1% and revenue declining 2% YoY to $3.65B, though the company raised FY2026 EPS guidance to $2.35-2.45 (from $2.30-2.40), signaling margin improvement even as the top line softens [1][2]. ROE of 33.78% demonstrates strong capital efficiency, and the company is aggressively returning capital through buybacks while investing in AI through its Google Cloud partnership [3]. Old Navy ($8B+ annual revenue) remains the dominant value apparel brand in the U.S. and benefits from trade-down consumer behavior. The Inspire Impact Score of 48 (ALIGNED) with 14 positive attributions and no negative attributions makes Gap suitable for faith-based investment portfolios.</w:t>
      </w:r>
    </w:p>
    <w:p>
      <w:pPr>
        <w:spacing w:after="120"/>
      </w:pPr>
      <w:r>
        <w:rPr>
          <w:rFonts w:ascii="Calibri" w:hAnsi="Calibri"/>
          <w:b w:val="0"/>
          <w:color w:val="3A4A28"/>
          <w:sz w:val="20"/>
        </w:rPr>
        <w:t>The bear case centers on structural retail headwinds and transformation fragility. Revenue growth has turned negative (-2% YoY in Q2) after a brief positive run, and the 5-year CAGR of approximately 2% reflects a company that has barely recovered from its FY2022 peak of $16.7B [2]. Profit margin of 8.14% is thin even by retail standards, limiting the company's ability to invest in brand-building, technology, and store modernization simultaneously. Athleta's -11% comp decline indicates the multi-brand portfolio remains unbalanced, with the athleisure brand losing share to Lululemon and Alo Yoga. Gap has a documented history of promising turnarounds that ultimately fade — Art Peck (2015-2019) and Sonia Syngal (2020-2022) both launched transformation plans with initial momentum that stalled, and Dickson's Q2 comp turn raises similar concerns only three years in. D/E of 144.77% (driven by operating leases) creates leverage risk if revenue declines accelerate. The Business &amp; Human Rights Resource Centre's finding that suppliers show no evidence of paying living wages creates reputational and regulatory risk for the ESG-conscious brand.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EPS guidance to $2.35-2.45 despite negative Q2 comps — margin improvement through AI-driven productivity, Google Cloud partnership, and cost discipline could sustain earnings growth even in a flat-revenue environment [2][3]</w:t>
      </w:r>
    </w:p>
    <w:p>
      <w:pPr>
        <w:spacing w:before="40" w:after="40"/>
        <w:ind w:left="283"/>
      </w:pPr>
      <w:r>
        <w:rPr>
          <w:rFonts w:ascii="Calibri" w:hAnsi="Calibri"/>
          <w:b/>
          <w:color w:val="4A6B25"/>
          <w:sz w:val="20"/>
        </w:rPr>
        <w:t xml:space="preserve">2. </w:t>
      </w:r>
      <w:r>
        <w:rPr>
          <w:rFonts w:ascii="Calibri" w:hAnsi="Calibri"/>
          <w:b w:val="0"/>
          <w:color w:val="3A4A28"/>
          <w:sz w:val="20"/>
        </w:rPr>
        <w:t>Gap brand cultural revitalization under Dickson driving 10% comp growth in Q1 FY2026 — if sustained, the flagship brand's recovery could offset Athleta weakness and reignite overall growth [1]</w:t>
      </w:r>
    </w:p>
    <w:p>
      <w:pPr>
        <w:spacing w:before="40" w:after="40"/>
        <w:ind w:left="283"/>
      </w:pPr>
      <w:r>
        <w:rPr>
          <w:rFonts w:ascii="Calibri" w:hAnsi="Calibri"/>
          <w:b/>
          <w:color w:val="4A6B25"/>
          <w:sz w:val="20"/>
        </w:rPr>
        <w:t xml:space="preserve">3. </w:t>
      </w:r>
      <w:r>
        <w:rPr>
          <w:rFonts w:ascii="Calibri" w:hAnsi="Calibri"/>
          <w:b w:val="0"/>
          <w:color w:val="3A4A28"/>
          <w:sz w:val="20"/>
        </w:rPr>
        <w:t>Deeply discounted valuation at 8.60x forward earnings with 33.78% ROE creates significant upside if the turnaround proves durable — multiple expansion to even 12x forward earnings implies 40% upside from current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comparable sales turning negative (-1%) after nine consecutive positive quarters raises concerns about transformation durability — Gap has a documented pattern of turnarounds that fade under successive CEOs (Peck 2015-2019, Syngal 2020-2022) [2]</w:t>
      </w:r>
    </w:p>
    <w:p>
      <w:pPr>
        <w:spacing w:before="40" w:after="40"/>
        <w:ind w:left="283"/>
      </w:pPr>
      <w:r>
        <w:rPr>
          <w:rFonts w:ascii="Calibri" w:hAnsi="Calibri"/>
          <w:b/>
          <w:color w:val="4A6B25"/>
          <w:sz w:val="20"/>
        </w:rPr>
        <w:t xml:space="preserve">2. </w:t>
      </w:r>
      <w:r>
        <w:rPr>
          <w:rFonts w:ascii="Calibri" w:hAnsi="Calibri"/>
          <w:b w:val="0"/>
          <w:color w:val="3A4A28"/>
          <w:sz w:val="20"/>
        </w:rPr>
        <w:t>Anemic revenue trajectory (-2% YoY, ~2% 5yr CAGR) and thin profit margins (8.14%) in a competitive apparel market pressured by AI-driven fast fashion (Shein) and athleisure brands (Lululemon, Alo Yoga) [5]</w:t>
      </w:r>
    </w:p>
    <w:p>
      <w:pPr>
        <w:spacing w:before="40" w:after="40"/>
        <w:ind w:left="283"/>
      </w:pPr>
      <w:r>
        <w:rPr>
          <w:rFonts w:ascii="Calibri" w:hAnsi="Calibri"/>
          <w:b/>
          <w:color w:val="4A6B25"/>
          <w:sz w:val="20"/>
        </w:rPr>
        <w:t xml:space="preserve">3. </w:t>
      </w:r>
      <w:r>
        <w:rPr>
          <w:rFonts w:ascii="Calibri" w:hAnsi="Calibri"/>
          <w:b w:val="0"/>
          <w:color w:val="3A4A28"/>
          <w:sz w:val="20"/>
        </w:rPr>
        <w:t>Supply chain ethics risk — Business &amp; Human Rights Resource Centre Fashion Checker found no evidence that Gap's suppliers pay workers a living wage, creating tension with the company's ALIGNED Inspire rating and potential regulatory exposure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Gap's core business of designing, manufacturing, and selling apparel through physical stores and e-commerce is structurally protected from AI substitution — consumers need physical clothing regardless of AI advances, and brand equity built over 57 years creates switching costs that AI startups cannot easily replicate [1]. Old Navy's $8B value positioning serves a fundamental consumer need. Physical retail provides experiential value (fitting rooms, tactile assessment, in-store browsing) that AI cannot fully replace. However, AI-powered fashion recommendation engines, generative AI design tools, and AI-optimized supply chains are increasingly deployed by competitors — Shein's AI-driven trend identification and rapid production cycles directly pressure Gap's slower development process [3]. AI Opportunity (0/1): Gap is actively investing in AI through its Google Cloud partnership and dedicated innovation unit targeting consumer experience, product-to-market, and organizational productivity [3]. However, these are internal efficiency tools, not AI products generating quantifiable external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Gap Inc. Q1 FY2026 Earnings Release — Revenue $3.50B (+1%), Gap Brand Comps +10%, Old Navy +1%, Athleta -11%, Raised FY2026 Guidance, SEC Form 8-K, May 2026</w:t>
      </w:r>
    </w:p>
    <w:p>
      <w:pPr>
        <w:spacing w:before="20" w:after="20"/>
        <w:ind w:left="170"/>
      </w:pPr>
      <w:r>
        <w:rPr>
          <w:rFonts w:ascii="Calibri" w:hAnsi="Calibri"/>
          <w:b/>
          <w:color w:val="4A6B25"/>
          <w:sz w:val="15"/>
        </w:rPr>
        <w:t xml:space="preserve">2. </w:t>
      </w:r>
      <w:r>
        <w:rPr>
          <w:rFonts w:ascii="Calibri" w:hAnsi="Calibri"/>
          <w:b w:val="0"/>
          <w:color w:val="3A4A28"/>
          <w:sz w:val="17"/>
        </w:rPr>
        <w:t>Gap Inc. Q2 FY2026 Earnings Release — Revenue $3.65B (-2% YoY), Comparable Sales -1%, EPS $0.52, Raised FY2026 EPS Guidance to $2.35-$2.45, August 2026</w:t>
      </w:r>
    </w:p>
    <w:p>
      <w:pPr>
        <w:spacing w:before="20" w:after="20"/>
        <w:ind w:left="170"/>
      </w:pPr>
      <w:r>
        <w:rPr>
          <w:rFonts w:ascii="Calibri" w:hAnsi="Calibri"/>
          <w:b/>
          <w:color w:val="4A6B25"/>
          <w:sz w:val="15"/>
        </w:rPr>
        <w:t xml:space="preserve">3. </w:t>
      </w:r>
      <w:r>
        <w:rPr>
          <w:rFonts w:ascii="Calibri" w:hAnsi="Calibri"/>
          <w:b w:val="0"/>
          <w:color w:val="3A4A28"/>
          <w:sz w:val="17"/>
        </w:rPr>
        <w:t>Gap Inc. AI Strategy — Google Cloud Multi-Year Partnership (October 2025), AI Marketing Overhaul (June 2026), CTO Sven Gerjets AI Innovation Unit, CIO Dive / RetailDive / ProcessExcellenceNetwork, 2025-2026</w:t>
      </w:r>
    </w:p>
    <w:p>
      <w:pPr>
        <w:spacing w:before="20" w:after="20"/>
        <w:ind w:left="170"/>
      </w:pPr>
      <w:r>
        <w:rPr>
          <w:rFonts w:ascii="Calibri" w:hAnsi="Calibri"/>
          <w:b/>
          <w:color w:val="4A6B25"/>
          <w:sz w:val="15"/>
        </w:rPr>
        <w:t xml:space="preserve">4. </w:t>
      </w:r>
      <w:r>
        <w:rPr>
          <w:rFonts w:ascii="Calibri" w:hAnsi="Calibri"/>
          <w:b w:val="0"/>
          <w:color w:val="3A4A28"/>
          <w:sz w:val="17"/>
        </w:rPr>
        <w:t>Gap Inc. ESG and Supply Chain — 2026 Sustainability Report (70% Scope 1&amp;2 Reduction), Business &amp; Human Rights Resource Centre Fashion Checker (No Living Wage Evidence), SustainabilityReports.com</w:t>
      </w:r>
    </w:p>
    <w:p>
      <w:pPr>
        <w:spacing w:before="20" w:after="20"/>
        <w:ind w:left="170"/>
      </w:pPr>
      <w:r>
        <w:rPr>
          <w:rFonts w:ascii="Calibri" w:hAnsi="Calibri"/>
          <w:b/>
          <w:color w:val="4A6B25"/>
          <w:sz w:val="15"/>
        </w:rPr>
        <w:t xml:space="preserve">5. </w:t>
      </w:r>
      <w:r>
        <w:rPr>
          <w:rFonts w:ascii="Calibri" w:hAnsi="Calibri"/>
          <w:b w:val="0"/>
          <w:color w:val="3A4A28"/>
          <w:sz w:val="17"/>
        </w:rPr>
        <w:t>Yahoo Finance — GAP Key Statistics: Price $22.67, PE 6.87, Forward PE 8.60, D/E 144.77%, ROE 33.78%, Profit Margin 8.14%, Revenue Growth -2.0%, Avg Volume 6.85M,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