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GDDY</w:t>
      </w:r>
      <w:r>
        <w:rPr>
          <w:rFonts w:ascii="Calibri" w:hAnsi="Calibri"/>
          <w:b/>
          <w:color w:val="1A2010"/>
          <w:sz w:val="40"/>
        </w:rPr>
        <w:t xml:space="preserve">  GoDaddy Inc.</w:t>
      </w:r>
    </w:p>
    <w:p>
      <w:pPr>
        <w:spacing w:after="120"/>
      </w:pPr>
      <w:r>
        <w:rPr>
          <w:rFonts w:ascii="Calibri" w:hAnsi="Calibri"/>
          <w:b/>
          <w:color w:val="6E8450"/>
          <w:sz w:val="18"/>
        </w:rPr>
        <w:t>GROWTH SLEEVE · 2026-09-12 · Inspire: -83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United States</w:t>
      </w:r>
    </w:p>
    <w:p>
      <w:pPr>
        <w:spacing w:after="80"/>
      </w:pPr>
      <w:r>
        <w:rPr>
          <w:rFonts w:ascii="Calibri" w:hAnsi="Calibri"/>
          <w:b w:val="0"/>
          <w:color w:val="3A4A28"/>
          <w:sz w:val="20"/>
        </w:rPr>
        <w:t>GoDaddy Inc. is the world's largest domain registrar and a leading web presence platform serving over 21 million customers globally. The company provides domain registration, web hosting, website building tools, e-commerce solutions, and marketing services primarily to small businesses and entrepreneurs. Under CEO Aman Bhutani (since 2019), GoDaddy is pivoting toward an AI-first platform through its GoDaddy Airo product, which automates business creation from domain to website to marketing. Q2 2026 revenue grew 7% YoY to $1.3B with operating income up 29%, and free cash flow is guided at ~$1.8B for FY2026. Full-year revenue guidance is $5.215-$5.255B.</w:t>
      </w:r>
    </w:p>
    <w:p>
      <w:r>
        <w:rPr>
          <w:rFonts w:ascii="Calibri" w:hAnsi="Calibri"/>
          <w:b/>
          <w:color w:val="6E8450"/>
          <w:sz w:val="18"/>
        </w:rPr>
        <w:t>5,518 Employees · https://www.godaddy.com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GoDaddy has executed a significant transformation from a domain registrar into a comprehensive web presence and e-commerce platform over the past 5 years, and the Airo AI platform represents a major product pivot that fundamentally changes the onboarding experience [3]. The Applications &amp; Commerce segment and international revenue (+8% YoY) demonstrate successful expansion beyond legacy domains [1]. AI Deployment (1/2): GoDaddy Airo is shipping to customers with measurable early results — annualized bookings run rate reached $50M, growing 5x, and Airo-first onboarding is now the standard go-to-market motion across Domains, Websites + Marketing, and Commerce [3]. However, $50M against a $5.2B revenue base is still sub-1% penetration. Market Share (2/2): GoDaddy is the dominant global domain registrar with leading market share and serves over 21 million customers, creating significant network effects and brand recognition that competitors have struggled to replicate at scale [1]. Product Pipeline (1/2): Airo platform is expanding capabilities across the product portfolio, but specific next-generation features with named launch dates and revenue visibility are not detailed beyond the general AI integration roadmap [3]. R&amp;D Intensity (0/1): GoDaddy built Airo 'without hiring additional engineers,' which demonstrates efficiency but also suggests R&amp;D intensity is below the industry average for a technology company undergoing an AI transformation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GoDaddy's purpose centers on empowering entrepreneurs — helping everyday people turn ideas into businesses — which is clear and identifies what the company does and for whom, but does not articulate a deeper transformative vision beyond the obvious [3]. The mission is functional rather than inspiring, interchangeable with many small-business-focused tech companies. Community Impact (1/2): GoDaddy publishes a Global Stakeholder Impact Report with sustainability and community initiatives, and the company has renewable energy and energy efficiency commitments [4]. However, no standout large-scale charitable investments with specific dollar amounts or distinctive community programs were identified. Employee Retention (0/2): Search results reveal mixed cultural signals — 'Innovation &amp; Creativity are encouraged with psychological safety,' but simultaneously 'layoffs, outsourcing, benefit reductions, and AI-driven changes contribute to a culture of fear and instability' [3]. This contradiction suggests employee retention is problematic rather than a strength. Insider Buying (0/2): No evidence of meaningful net insider buying by executives was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GoDaddy's infrastructure score benefits from strong valuation metrics — forward P/E of 12.47 is well below the 20x target, and PEG ratio of 0.63 is below the 1.0 target [5]. Profit margin of 17.32% approaches the 20% target and reflects the shift toward higher-margin subscription revenue [1]. However, the massive D/E ratio of approximately 1622% (scoring 0 at the 300% floor) reflects GoDaddy's aggressive share buyback program that has reduced equity to near-zero levels — the company has repurchased over $7B in stock [5]. ROE of 398.22% is artificially inflated by the minimal equity base and should be viewed in context of the capital structure rather than as a pure profitability metric. Revenue growth YoY of 6% and 5-year CAGR of approximately 6.5% fall short of the 10% target, reflecting GoDaddy's mature business profile [1][2]. Daily liquidity of ~$162.8M comfortably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GoDaddy operates with a predominantly finite mindset. While the company has a positive purpose around empowering entrepreneurs and has shown some strategic flexibility in pivoting toward AI, the internal culture signals are concerning — layoffs, outsourcing, benefit reductions, and a reported culture of fear undermine the organizational trust that infinite-game companies require. The company's aggressive financial engineering (massive buybacks reducing equity to near-zero) and cost optimization focus suggest quarterly performance optimization rather than long-term capability building.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GoDaddy's cause of empowering entrepreneurs to build businesses is positive but shallow — it reads as marketing rather than a transformative vision that shapes strategic decisions through multiple cycles [3]. The purpose is interchangeable with many small-business-focused technology companies and does not describe a future state that inspires sacrifice. CEO Aman Bhutani frames strategy in terms of 'leading in AI-driven innovation' and 'higher-value customers' rather than advancing a deeper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suggests a low-trust environment at GoDaddy. Search results cite 'layoffs, outsourcing, benefit reductions, and AI-driven changes contribute to a culture of fear and instability that undermines confidence and motivation' [3]. While innovation and psychological safety are nominally encouraged, the organizational instability created by restructuring actions directly contradicts Sinek's Circle of Safety model. Employees facing layoff uncertainty cannot focus on advancing the cause — they protect themselves.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an infinite competitive mindset. GoDaddy's competitive language focuses on 'leading' in AI-driven innovation and capturing higher-value customers rather than learning from competitors' strengths [3]. The company acknowledges that AI tools make internal development more attractive than acquisitions, but frames this in terms of competitive advantage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GoDaddy has evolved from a domain registrar known for Super Bowl ads to an AI-first business platform, which represents meaningful strategic flexibility [3]. The Airo-first onboarding pivot redefines the customer relationship from transactional domain purchases to AI-powered business creation. However, the core business model (subscription-based web services) has not fundamentally changed — the company is adding AI as a layer rather than abandoning its existing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Aman Bhutani has led a significant strategic pivot toward AI-first platform capabilities, building Airo without additional headcount and reorienting the go-to-market motion around AI [3]. The company invested in transformation while simultaneously delivering 33% EBITDA margins and $1.8B free cash flow guidance, showing discipline in balancing near-term performance with long-term positioning [1][2]. However, the simultaneous layoffs and benefit reductions suggest cost optimization coexists with strategic investment rather than pure long-term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GoDaddy at 12.47x forward earnings with a PEG ratio of 0.63 offers attractive valuation for a high-quality cash flow compounder — FY2026 free cash flow is guided at ~$1.8B against a ~$15B market cap, implying a ~12% FCF yield [1][2]. The Q2 2026 results demonstrated accelerating profitability with operating income up 29% YoY and net income up 20% on 7% revenue growth, showing strong operating leverage as the business matures [1]. The Airo AI platform, with $50M annualized bookings growing 5x, could become a meaningful growth vector as AI-powered business creation expands the addressable market beyond traditional website builders [3]. GoDaddy's 21 million customer base provides distribution scale that AI-native competitors lack, and the shift toward Applications &amp; Commerce positions the company for higher ARPU from each customer relationship.</w:t>
      </w:r>
    </w:p>
    <w:p>
      <w:pPr>
        <w:spacing w:after="120"/>
      </w:pPr>
      <w:r>
        <w:rPr>
          <w:rFonts w:ascii="Calibri" w:hAnsi="Calibri"/>
          <w:b w:val="0"/>
          <w:color w:val="3A4A28"/>
          <w:sz w:val="20"/>
        </w:rPr>
        <w:t>The bear case centers on AI disruption to the core business, extreme leverage, and cultural deterioration. GoDaddy's D/E ratio of ~1622% reflects a capital structure optimized for financial engineering rather than business resilience — near-zero equity provides no cushion against revenue disruption [5]. AI website builders from Wix, Squarespace, and emerging AI-native competitors threaten to commoditize web presence creation, potentially compressing GoDaddy's pricing power in its core hosting and website builder segments [3]. Revenue growth of 6% reflects a mature business that may struggle to accelerate even with AI investments — the 5-year CAGR of 6.5% shows no meaningful inflection despite significant strategic pivots. Internal culture concerns — layoffs, outsourcing, benefit reductions creating a 'culture of fear' — risk undermining the organizational capability needed to execute the AI transformation [3]. The Inspire Impact Score of -83 (MISALIGNED) will limit allocation for faith-based investors due to negative attributions including Abortion Activism, LGBT Activism, and Sexually Explicit content.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GoDaddy Airo AI platform bookings growing 5x to $50M annualized run rate — successful scaling of Airo-first onboarding could drive meaningful ARPU expansion across 21 million customers as AI automates the full business creation workflow [3]</w:t>
      </w:r>
    </w:p>
    <w:p>
      <w:pPr>
        <w:spacing w:before="40" w:after="40"/>
        <w:ind w:left="283"/>
      </w:pPr>
      <w:r>
        <w:rPr>
          <w:rFonts w:ascii="Calibri" w:hAnsi="Calibri"/>
          <w:b/>
          <w:color w:val="4A6B25"/>
          <w:sz w:val="20"/>
        </w:rPr>
        <w:t xml:space="preserve">2. </w:t>
      </w:r>
      <w:r>
        <w:rPr>
          <w:rFonts w:ascii="Calibri" w:hAnsi="Calibri"/>
          <w:b w:val="0"/>
          <w:color w:val="3A4A28"/>
          <w:sz w:val="20"/>
        </w:rPr>
        <w:t>Accelerating profitability trajectory with operating income up 29% YoY and free cash flow guided at ~$1.8B for FY2026, providing substantial capital for continued share buybacks and potential dividend initiation [1][2]</w:t>
      </w:r>
    </w:p>
    <w:p>
      <w:pPr>
        <w:spacing w:before="40" w:after="40"/>
        <w:ind w:left="283"/>
      </w:pPr>
      <w:r>
        <w:rPr>
          <w:rFonts w:ascii="Calibri" w:hAnsi="Calibri"/>
          <w:b/>
          <w:color w:val="4A6B25"/>
          <w:sz w:val="20"/>
        </w:rPr>
        <w:t xml:space="preserve">3. </w:t>
      </w:r>
      <w:r>
        <w:rPr>
          <w:rFonts w:ascii="Calibri" w:hAnsi="Calibri"/>
          <w:b w:val="0"/>
          <w:color w:val="3A4A28"/>
          <w:sz w:val="20"/>
        </w:rPr>
        <w:t>International revenue growing 8% YoY in Q2 2026 offers an underpenetrated growth vector — GoDaddy's brand recognition and AI-powered platform could capture share in markets where small business digitization is still early-stage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website builders and coding assistants from Wix, Squarespace, Durable, and general-purpose AI tools threaten to commoditize web presence creation, potentially compressing GoDaddy's pricing power and increasing churn in the ~$5.2B annual revenue base [3]</w:t>
      </w:r>
    </w:p>
    <w:p>
      <w:pPr>
        <w:spacing w:before="40" w:after="40"/>
        <w:ind w:left="283"/>
      </w:pPr>
      <w:r>
        <w:rPr>
          <w:rFonts w:ascii="Calibri" w:hAnsi="Calibri"/>
          <w:b/>
          <w:color w:val="4A6B25"/>
          <w:sz w:val="20"/>
        </w:rPr>
        <w:t xml:space="preserve">2. </w:t>
      </w:r>
      <w:r>
        <w:rPr>
          <w:rFonts w:ascii="Calibri" w:hAnsi="Calibri"/>
          <w:b w:val="0"/>
          <w:color w:val="3A4A28"/>
          <w:sz w:val="20"/>
        </w:rPr>
        <w:t>Extreme financial leverage with D/E of ~1622% and near-zero stockholders' equity provides no cushion against revenue disruption — if the AI transformation falters or core business declines, the debt load limits strategic flexibility [5]</w:t>
      </w:r>
    </w:p>
    <w:p>
      <w:pPr>
        <w:spacing w:before="40" w:after="40"/>
        <w:ind w:left="283"/>
      </w:pPr>
      <w:r>
        <w:rPr>
          <w:rFonts w:ascii="Calibri" w:hAnsi="Calibri"/>
          <w:b/>
          <w:color w:val="4A6B25"/>
          <w:sz w:val="20"/>
        </w:rPr>
        <w:t xml:space="preserve">3. </w:t>
      </w:r>
      <w:r>
        <w:rPr>
          <w:rFonts w:ascii="Calibri" w:hAnsi="Calibri"/>
          <w:b w:val="0"/>
          <w:color w:val="3A4A28"/>
          <w:sz w:val="20"/>
        </w:rPr>
        <w:t>Internal culture deterioration — layoffs, outsourcing, benefit reductions creating a 'culture of fear and instability' — undermines the organizational capability and employee engagement needed to execute a successful AI-first transformation across 5,518 employees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EXPOSED. GoDaddy's core domain registration and basic web hosting businesses face meaningful AI disruption risk as AI-powered website builders (Wix AI, Squarespace, Durable, Framer) and coding assistants enable small businesses to create web presences with minimal reliance on traditional hosting platforms [3]. The commoditization of website creation through AI threatens to compress pricing and reduce switching costs in GoDaddy's core market. However, domain registration carries some defensibility due to DNS infrastructure requirements and brand recognition, and GoDaddy's 21 million customer base creates distribution advantages. The company's proactive pivot toward Airo demonstrates management awareness of the threat, but the $50M AI bookings run rate against $5.2B revenue suggests the transformation is early-stage [1]. AI Opportunity (1/1): GoDaddy Airo generates quantifiable AI revenue with $50M annualized bookings growing 5x, and AI is embedded across the entire product portfolio — from domain selection through website creation to marketing automation [3]. Airo-first onboarding is the standard go-to-market motion.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GoDaddy Q2 2026 Earnings Release — Revenue $1.3B (+7% YoY), Operating Income Up 29%, Net Income Up 20% to $240.1M, International Revenue +8%, August 2026</w:t>
      </w:r>
    </w:p>
    <w:p>
      <w:pPr>
        <w:spacing w:before="20" w:after="20"/>
        <w:ind w:left="170"/>
      </w:pPr>
      <w:r>
        <w:rPr>
          <w:rFonts w:ascii="Calibri" w:hAnsi="Calibri"/>
          <w:b/>
          <w:color w:val="4A6B25"/>
          <w:sz w:val="15"/>
        </w:rPr>
        <w:t xml:space="preserve">2. </w:t>
      </w:r>
      <w:r>
        <w:rPr>
          <w:rFonts w:ascii="Calibri" w:hAnsi="Calibri"/>
          <w:b w:val="0"/>
          <w:color w:val="3A4A28"/>
          <w:sz w:val="17"/>
        </w:rPr>
        <w:t>GoDaddy Q1 2026 Earnings Release — Revenue $1.27B (+6% YoY), Normalized EBITDA $414M (+13%), Margin 33%, FY2026 Revenue Guidance $5.215-5.255B, April 2026</w:t>
      </w:r>
    </w:p>
    <w:p>
      <w:pPr>
        <w:spacing w:before="20" w:after="20"/>
        <w:ind w:left="170"/>
      </w:pPr>
      <w:r>
        <w:rPr>
          <w:rFonts w:ascii="Calibri" w:hAnsi="Calibri"/>
          <w:b/>
          <w:color w:val="4A6B25"/>
          <w:sz w:val="15"/>
        </w:rPr>
        <w:t xml:space="preserve">3. </w:t>
      </w:r>
      <w:r>
        <w:rPr>
          <w:rFonts w:ascii="Calibri" w:hAnsi="Calibri"/>
          <w:b w:val="0"/>
          <w:color w:val="3A4A28"/>
          <w:sz w:val="17"/>
        </w:rPr>
        <w:t>GoDaddy AI Strategy and Culture — CEO Aman Bhutani, Airo AI Platform, $50M Annualized Bookings (5x Growth), Layoffs/Outsourcing Concerns, Goldman Sachs Conference September 2026</w:t>
      </w:r>
    </w:p>
    <w:p>
      <w:pPr>
        <w:spacing w:before="20" w:after="20"/>
        <w:ind w:left="170"/>
      </w:pPr>
      <w:r>
        <w:rPr>
          <w:rFonts w:ascii="Calibri" w:hAnsi="Calibri"/>
          <w:b/>
          <w:color w:val="4A6B25"/>
          <w:sz w:val="15"/>
        </w:rPr>
        <w:t xml:space="preserve">4. </w:t>
      </w:r>
      <w:r>
        <w:rPr>
          <w:rFonts w:ascii="Calibri" w:hAnsi="Calibri"/>
          <w:b w:val="0"/>
          <w:color w:val="3A4A28"/>
          <w:sz w:val="17"/>
        </w:rPr>
        <w:t>GoDaddy ESG — Global Stakeholder Impact Report, Sustainability Governance, Renewable Energy Commitments,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GDDY Key Statistics: Forward P/E 12.47, ROE 398.22%, D/E 1622%, Profit Margin 17.32%, Stock Price $101.31, Avg Volume 1.61M,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