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GDS</w:t>
      </w:r>
      <w:r>
        <w:rPr>
          <w:rFonts w:ascii="Calibri" w:hAnsi="Calibri"/>
          <w:b/>
          <w:color w:val="1A2010"/>
          <w:sz w:val="40"/>
        </w:rPr>
        <w:t xml:space="preserve">  GDS Holdings Limited</w:t>
      </w:r>
    </w:p>
    <w:p>
      <w:pPr>
        <w:spacing w:after="120"/>
      </w:pPr>
      <w:r>
        <w:rPr>
          <w:rFonts w:ascii="Calibri" w:hAnsi="Calibri"/>
          <w:b/>
          <w:color w:val="6E8450"/>
          <w:sz w:val="18"/>
        </w:rPr>
        <w:t>GROWTH SLEEVE · 2026-09-09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Data Center Services · NASDAQ · China</w:t>
      </w:r>
    </w:p>
    <w:p>
      <w:pPr>
        <w:spacing w:after="80"/>
      </w:pPr>
      <w:r>
        <w:rPr>
          <w:rFonts w:ascii="Calibri" w:hAnsi="Calibri"/>
          <w:b w:val="0"/>
          <w:color w:val="3A4A28"/>
          <w:sz w:val="20"/>
        </w:rPr>
        <w:t>GDS Holdings Limited is a leading developer and operator of high-performance data centers in China and Southeast Asia. Founded by William Wei Huang in 2006, the company operates dozens of data centers across Greater China including in Shanghai, Beijing, Shenzhen, Suzhou, Chengdu, and Hong Kong. Q1 2026 revenue was RMB 3,367M (US$488M, +23.6% YoY) and Q2 2026 revenue was RMB 3,088M (US$455M, +6.5% YoY) with the company swinging to net income of RMB 837.6M in Q2. FY2026 revenue guidance was raised to RMB 12.70-13.00B driven by AI-related data center demand. GDS secured a $1.2B Series B equity raise led by SoftBank Vision Fund to fund 1GW+ of new capacity. Market cap is approximately $6.5 billion.</w:t>
      </w:r>
    </w:p>
    <w:p>
      <w:r>
        <w:rPr>
          <w:rFonts w:ascii="Calibri" w:hAnsi="Calibri"/>
          <w:b/>
          <w:color w:val="6E8450"/>
          <w:sz w:val="18"/>
        </w:rPr>
        <w:t>5,000 Employees · https://www.gds-services.com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GDS has built China's premier carrier-neutral data center platform from startup to $1.8B TTM revenue over two decades under founder William Huang's leadership [1]. The company operates dozens of high-performance data centers across Greater China and has successfully expanded into Southeast Asia. Q1 2026 revenue grew 23.6% YoY to RMB 3,367M, and the company swung to profitability in Q2 2026 with net income of RMB 837.6M, demonstrating operational maturation [2]. AI Deployment (1/2): GDS is building AI-optimized data center infrastructure with high-density power configurations for GPU clusters, though the company is an infrastructure provider rather than an AI deployer itself. The company's raised guidance was explicitly tied to AI-driven demand and record data center bookings [1]. Market Share (2/2): GDS is the largest carrier-neutral data center operator in China by capacity, serving hyperscale cloud providers, large enterprises, and AI companies across critical Chinese markets. The $1.2B Series B raise from SoftBank Vision Fund and Kenneth Griffin validates GDS's market position [3]. Product Pipeline (1/2): The company raised its full-year sales target to 1GW of new capacity by end-2026, with massive capital expenditure plans for AI-ready data centers across China and Southeast Asia [1]. R&amp;D Intensity (1/1): Significant ongoing investment in next-generation data center design, cooling technologies, and power infrastructure for high-density AI workloads.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GDS positions itself as enabling China's and Southeast Asia's digital transformation by providing critical infrastructure for cloud computing and AI development. This purpose is commercially grounded but connects to a genuine societal need — the rapid digitization of the world's largest population [3]. The carbon neutrality by 2030 commitment adds a sustainability dimension, though the core mission remains infrastructure provision. Community Impact (1/2): GDS employs approximately 5,000 workers and has committed to carbon neutrality by 2030, achieving 40% renewable energy usage in 2024 with 42 green-certified data centers [4]. The MSCI ESG rating upgrade from BBB to A reflects improving practices. However, data center construction can create local environmental tensions. Employee Retention (1/2): Limited public data on employee satisfaction or retention. As a Chinese technology company, GDS operates in a highly competitive talent market for data center engineers and technical staff. Insider Buying (1/2): Founder William Huang has led the company since inception (2006) and remains chairman and CEO, demonstrating long-term commitment. However, no specific insider buying data was identified in available sources.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GDS demonstrates strong revenue growth with Q1 2026 up 23.6% YoY and raised FY2026 guidance to RMB 12.70-13.00B, comfortably exceeding the 10% target [1]. However, the company is weighed down by an extremely high Forward P/E of 143.88x, far exceeding the 60x floor (score 0), reflecting analyst uncertainty about sustained profitability after the Q2 2026 swing to profit [5]. Debt-to-equity of 142.64% scores moderately (0.68) — elevated for a capital-intensive data center business but manageable given the $1.2B equity raise [3][5]. ROE of 4.84% is well below the 15% target, reflecting the company's still-emerging profitability profile. TTM net margin of -0.90% sits at the floor, though Q2 2026 showed dramatic improvement with 27% net margin. The stock easily passes the liquidity floor at ~$35.7M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GDS Holdings demonstrates a mix of infinite and finite game characteristics. Founder William Huang's 20-year commitment to building China's data center infrastructure reflects enduring purpose, and the company's aggressive expansion into AI-ready capacity and Southeast Asian markets shows willingness to invest for the long term. However, the extreme leverage (142.64% D/E), reliance on external capital raises ($1.2B Series B), and recent push to profitability suggest tension between long-term infrastructure building and near-term financial sustainability. The company's carbon neutrality by 2030 pledge shows purpose beyond profit, but execution remains to be proven.</w:t>
      </w:r>
    </w:p>
    <w:p>
      <w:pPr>
        <w:spacing w:before="200" w:after="40"/>
      </w:pPr>
      <w:r>
        <w:rPr>
          <w:rFonts w:ascii="Calibri" w:hAnsi="Calibri"/>
          <w:b/>
          <w:color w:val="1A2010"/>
          <w:sz w:val="22"/>
        </w:rPr>
        <w:t>Just Cause</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GDS's implicit purpose — building the digital infrastructure that enables China's and Asia's technological future — is genuine and connects to a larger cause than quarterly results. The 20-year journey from startup to China's leading carrier-neutral data center operator demonstrates sustained commitment [3]. The carbon neutrality by 2030 commitment with 40% renewable energy already achieved shows environmental consciousness beyond regulatory minimums [4]. However, the cause is not explicitly articulated as a driving philosophy, and the commercial imperative (capturing AI-driven demand) is the dominant narrative in investor communications.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GDS employs approximately 5,000 people across China and Southeast Asia, with technical talent concentrated in data center operations, engineering, and sales. Limited public data on employee engagement, turnover, or workplace culture makes a thorough assessment difficult. The company's rapid growth and geographic expansion create opportunities for career advancement but also strain on organizational culture. No reports of labor disputes or employee concerns were identified, but the absence of transparency itself limits confidence in team trust levels.</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GDS competes against formidable rivals including Chindata Group, VNET Group, and increasingly the hyperscalers (Alibaba Cloud, Tencent Cloud, Huawei) building captive data center capacity. However, no evidence was found of GDS leadership publicly acknowledging competitors as worthy rivals or explicitly framing competitive dynamics as opportunities for self-improvement. The company's communications focus on market leadership positioning rather than competitive learning.</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GDS has demonstrated meaningful strategic evolution over its history — expanding from pure colocation to managed hosting to cloud-ready infrastructure, then pivoting to AI-optimized high-density data centers as the market shifted [1]. The international expansion into Southeast Asia (Singapore, Malaysia, Indonesia) represents geographic diversification that reduces dependence on the Chinese regulatory environment. The $1.2B Series B raise to fund 1GW of AI-ready capacity shows willingness to make transformative bets on emerging demand patterns [3].</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GDS has consistently made large, capital-intensive bets on future demand — raising $1.2B from SoftBank and Kenneth Griffin to build 1GW of AI-ready capacity when the company had just barely swung to profitability demonstrates conviction over caution [3]. The expansion into Southeast Asian markets required navigating new regulatory environments, building local partnerships, and taking on execution risk far from the company's Chinese home base. The carbon neutrality by 2030 pledge, with 42 green-certified data centers already operational, adds real cost commitments to a business already under margin pressure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GDS Holdings at $31.32 is a China-based data center operator riding the AI infrastructure supercycle — Q1 2026 revenue surged 23.6% YoY to RMB 3,367M, the company swung to Q2 net income of RMB 837.6M (vs. a year-ago loss), and management raised FY2026 revenue guidance to RMB 12.70-13.00B explicitly driven by AI-related demand [1][2]. The $1.2B Series B raise from SoftBank Vision Fund and Kenneth Griffin validates the platform and funds 1GW of new AI-ready capacity [3]. As China's largest carrier-neutral data center operator, GDS holds a structural position in the AI infrastructure stack that is extremely difficult to replicate — the permitting, power procurement, and interconnection relationships represent years of accumulated advantage. The AI Resilience score of 9 reflects GDS's position as a direct beneficiary of AI proliferation rather than a disruption target.</w:t>
      </w:r>
    </w:p>
    <w:p>
      <w:pPr>
        <w:spacing w:after="120"/>
      </w:pPr>
      <w:r>
        <w:rPr>
          <w:rFonts w:ascii="Calibri" w:hAnsi="Calibri"/>
          <w:b w:val="0"/>
          <w:color w:val="3A4A28"/>
          <w:sz w:val="20"/>
        </w:rPr>
        <w:t>The bear case centers on profitability sustainability, China risk, and capital intensity. The Forward P/E of 143.88x suggests analysts remain skeptical that the Q2 2026 profitability will sustain — the TTM net margin is still -0.90%, and the swing to profit may reflect one-time items rather than structural margin expansion [5]. Debt-to-equity of 142.64% is elevated for any business, and the data center industry's insatiable capital requirements mean GDS must continually raise debt and equity to fund growth, diluting existing shareholders. China geopolitical risk is the elephant in the room — U.S.-China tensions, potential data localization mandates, and regulatory uncertainty around foreign investment in Chinese technology infrastructure create a structural discount that may not resolve. The ROE of 4.84% confirms that despite revenue growth, GDS has not yet demonstrated it can generate adequate returns on the massive capital deployed. The Inspire Impact Score of 0 (MIXED) is neutral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AI-driven data center demand accelerating with raised FY2026 guidance to RMB 12.70-13.00B and $1.2B in fresh capital from SoftBank Vision Fund earmarked for 1GW+ of AI-ready capacity expansion [1][3]</w:t>
      </w:r>
    </w:p>
    <w:p>
      <w:pPr>
        <w:spacing w:before="40" w:after="40"/>
        <w:ind w:left="283"/>
      </w:pPr>
      <w:r>
        <w:rPr>
          <w:rFonts w:ascii="Calibri" w:hAnsi="Calibri"/>
          <w:b/>
          <w:color w:val="4A6B25"/>
          <w:sz w:val="20"/>
        </w:rPr>
        <w:t xml:space="preserve">2. </w:t>
      </w:r>
      <w:r>
        <w:rPr>
          <w:rFonts w:ascii="Calibri" w:hAnsi="Calibri"/>
          <w:b w:val="0"/>
          <w:color w:val="3A4A28"/>
          <w:sz w:val="20"/>
        </w:rPr>
        <w:t>Profitability inflection demonstrated by Q2 2026 net income of RMB 837.6M (vs. year-ago loss), which if sustained would dramatically re-rate the stock from a growth-at-any-cost to a profitable growth story [2]</w:t>
      </w:r>
    </w:p>
    <w:p>
      <w:pPr>
        <w:spacing w:before="40" w:after="40"/>
        <w:ind w:left="283"/>
      </w:pPr>
      <w:r>
        <w:rPr>
          <w:rFonts w:ascii="Calibri" w:hAnsi="Calibri"/>
          <w:b/>
          <w:color w:val="4A6B25"/>
          <w:sz w:val="20"/>
        </w:rPr>
        <w:t xml:space="preserve">3. </w:t>
      </w:r>
      <w:r>
        <w:rPr>
          <w:rFonts w:ascii="Calibri" w:hAnsi="Calibri"/>
          <w:b w:val="0"/>
          <w:color w:val="3A4A28"/>
          <w:sz w:val="20"/>
        </w:rPr>
        <w:t>Southeast Asian expansion providing geographic diversification and access to fast-growing ASEAN digital economies, reducing dependence on the Chinese regulatory environment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China geopolitical and regulatory risk — U.S.-China tensions, data sovereignty mandates, and potential restrictions on foreign capital participation in Chinese technology infrastructure could impair GDS's access to international capital markets and depress the ADR valuation [3]</w:t>
      </w:r>
    </w:p>
    <w:p>
      <w:pPr>
        <w:spacing w:before="40" w:after="40"/>
        <w:ind w:left="283"/>
      </w:pPr>
      <w:r>
        <w:rPr>
          <w:rFonts w:ascii="Calibri" w:hAnsi="Calibri"/>
          <w:b/>
          <w:color w:val="4A6B25"/>
          <w:sz w:val="20"/>
        </w:rPr>
        <w:t xml:space="preserve">2. </w:t>
      </w:r>
      <w:r>
        <w:rPr>
          <w:rFonts w:ascii="Calibri" w:hAnsi="Calibri"/>
          <w:b w:val="0"/>
          <w:color w:val="3A4A28"/>
          <w:sz w:val="20"/>
        </w:rPr>
        <w:t>Capital intensity and dilution risk: the $1.2B Series B raise and ongoing need for massive capex to build AI-ready capacity means continuous equity and debt issuance, with D/E already at 142.64% and ROE at only 4.84% [3][5]</w:t>
      </w:r>
    </w:p>
    <w:p>
      <w:pPr>
        <w:spacing w:before="40" w:after="40"/>
        <w:ind w:left="283"/>
      </w:pPr>
      <w:r>
        <w:rPr>
          <w:rFonts w:ascii="Calibri" w:hAnsi="Calibri"/>
          <w:b/>
          <w:color w:val="4A6B25"/>
          <w:sz w:val="20"/>
        </w:rPr>
        <w:t xml:space="preserve">3. </w:t>
      </w:r>
      <w:r>
        <w:rPr>
          <w:rFonts w:ascii="Calibri" w:hAnsi="Calibri"/>
          <w:b w:val="0"/>
          <w:color w:val="3A4A28"/>
          <w:sz w:val="20"/>
        </w:rPr>
        <w:t>Profitability sustainability uncertain — TTM net margin of -0.90% despite the Q2 2026 swing to profit, with Forward P/E of 143.88x suggesting analysts doubt the margin improvement will persist [2][5]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GDS Holdings sits at the absolute epicenter of AI infrastructure demand — data centers are the physical foundation upon which all AI training and inference runs, making GDS a direct, structural beneficiary of the AI revolution rather than a disruption target [1]. The company raised its full-year 2026 revenue guidance and lifted capital expenditure plans explicitly because of AI-driven demand and record data center bookings [1]. AI workloads require specialized high-density power configurations (liquid cooling, high-power racks) that favor established operators with technical expertise over greenfield entrants. However, GDS faces competitive risk from hyperscaler self-builds (Alibaba, ByteDance building their own data centers), potential Chinese government policy shifts on data sovereignty, and the capital-intensive nature of keeping pace with rapidly evolving AI infrastructure requirements. AI Opportunity (1/1): AI is the primary growth driver for GDS — the $1.2B Series B raise from SoftBank Vision Fund is explicitly earmarked for AI-ready data center capacity, and management has tied the raised FY2026 guidance directly to AI-related demand growth [1][3]. The 1GW capacity target represents massive AI-driven expansion.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GDS Holdings Q1 2026 Results and Raised FY2026 Guidance — Revenue RMB 3,367M (+23.6% YoY), FY2026 guidance raised to RMB 12.70-13.00B, AI-driven demand — SEC 6-K filing, Yahoo Finance, DCD, 2026</w:t>
      </w:r>
    </w:p>
    <w:p>
      <w:pPr>
        <w:spacing w:before="20" w:after="20"/>
        <w:ind w:left="170"/>
      </w:pPr>
      <w:r>
        <w:rPr>
          <w:rFonts w:ascii="Calibri" w:hAnsi="Calibri"/>
          <w:b/>
          <w:color w:val="4A6B25"/>
          <w:sz w:val="15"/>
        </w:rPr>
        <w:t xml:space="preserve">2. </w:t>
      </w:r>
      <w:r>
        <w:rPr>
          <w:rFonts w:ascii="Calibri" w:hAnsi="Calibri"/>
          <w:b w:val="0"/>
          <w:color w:val="3A4A28"/>
          <w:sz w:val="17"/>
        </w:rPr>
        <w:t>GDS Holdings Q2 2026 Results — Revenue RMB 3,088M (+6.5% YoY), Net Income RMB 837.6M (swing from loss), EPS improvement — Globe and Mail, Simply Wall St, Barchart, August 2026</w:t>
      </w:r>
    </w:p>
    <w:p>
      <w:pPr>
        <w:spacing w:before="20" w:after="20"/>
        <w:ind w:left="170"/>
      </w:pPr>
      <w:r>
        <w:rPr>
          <w:rFonts w:ascii="Calibri" w:hAnsi="Calibri"/>
          <w:b/>
          <w:color w:val="4A6B25"/>
          <w:sz w:val="15"/>
        </w:rPr>
        <w:t xml:space="preserve">3. </w:t>
      </w:r>
      <w:r>
        <w:rPr>
          <w:rFonts w:ascii="Calibri" w:hAnsi="Calibri"/>
          <w:b w:val="0"/>
          <w:color w:val="3A4A28"/>
          <w:sz w:val="17"/>
        </w:rPr>
        <w:t>GDS Holdings Strategic Expansion — $1.2B Series B from SoftBank Vision Fund and Kenneth Griffin, 1GW capacity target, SE Asia expansion — DCD, Data Centre Magazine, 2026</w:t>
      </w:r>
    </w:p>
    <w:p>
      <w:pPr>
        <w:spacing w:before="20" w:after="20"/>
        <w:ind w:left="170"/>
      </w:pPr>
      <w:r>
        <w:rPr>
          <w:rFonts w:ascii="Calibri" w:hAnsi="Calibri"/>
          <w:b/>
          <w:color w:val="4A6B25"/>
          <w:sz w:val="15"/>
        </w:rPr>
        <w:t xml:space="preserve">4. </w:t>
      </w:r>
      <w:r>
        <w:rPr>
          <w:rFonts w:ascii="Calibri" w:hAnsi="Calibri"/>
          <w:b w:val="0"/>
          <w:color w:val="3A4A28"/>
          <w:sz w:val="17"/>
        </w:rPr>
        <w:t>GDS Holdings 2024 ESG Report — MSCI ESG Rating upgraded to A, 40% renewable energy, 42 green-certified data centers, carbon neutrality by 2030 — GDS Investor Relations, QuiverQuant, 2025</w:t>
      </w:r>
    </w:p>
    <w:p>
      <w:pPr>
        <w:spacing w:before="20" w:after="20"/>
        <w:ind w:left="170"/>
      </w:pPr>
      <w:r>
        <w:rPr>
          <w:rFonts w:ascii="Calibri" w:hAnsi="Calibri"/>
          <w:b/>
          <w:color w:val="4A6B25"/>
          <w:sz w:val="15"/>
        </w:rPr>
        <w:t xml:space="preserve">5. </w:t>
      </w:r>
      <w:r>
        <w:rPr>
          <w:rFonts w:ascii="Calibri" w:hAnsi="Calibri"/>
          <w:b w:val="0"/>
          <w:color w:val="3A4A28"/>
          <w:sz w:val="17"/>
        </w:rPr>
        <w:t>GDS Holdings Financial Ratios — Stock $31.32, Forward P/E 143.88, D/E 142.64%, ROE 4.84%, Net Margin -0.90% TTM, Avg Volume 1.14M — StockAnalysis, CNBC, MacroTrends,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