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GDYN</w:t>
      </w:r>
      <w:r>
        <w:rPr>
          <w:rFonts w:ascii="Calibri" w:hAnsi="Calibri"/>
          <w:b/>
          <w:color w:val="1A2010"/>
          <w:sz w:val="40"/>
        </w:rPr>
        <w:t xml:space="preserve">  Grid Dynamics Holdings, Inc.</w:t>
      </w:r>
    </w:p>
    <w:p>
      <w:pPr>
        <w:spacing w:after="120"/>
      </w:pPr>
      <w:r>
        <w:rPr>
          <w:rFonts w:ascii="Calibri" w:hAnsi="Calibri"/>
          <w:b/>
          <w:color w:val="6E8450"/>
          <w:sz w:val="18"/>
        </w:rPr>
        <w:t>GROWTH SLEEVE · 2026-09-20 · Inspire: 37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NASDAQ · United States</w:t>
      </w:r>
    </w:p>
    <w:p>
      <w:pPr>
        <w:spacing w:after="80"/>
      </w:pPr>
      <w:r>
        <w:rPr>
          <w:rFonts w:ascii="Calibri" w:hAnsi="Calibri"/>
          <w:b w:val="0"/>
          <w:color w:val="3A4A28"/>
          <w:sz w:val="20"/>
        </w:rPr>
        <w:t>Grid Dynamics is an enterprise AI and digital transformation services company providing custom AI solutions, cloud platform engineering, and digital engagement services to Fortune 1000 enterprises. AI revenue represents 30.7% of total revenue (Q2 2026) growing ~60% YoY, with offerings spanning agentic AI platforms (Temporal Technologies partnership), the proprietary GAIN framework, and AI-readiness consulting. CEO Leonard Livschitz has 30+ years of tech industry experience. Q2 2026 revenue was $108.2M (+7% YoY) with full-year guidance of $435-465M. Market cap approximately $616M.</w:t>
      </w:r>
    </w:p>
    <w:p>
      <w:r>
        <w:rPr>
          <w:rFonts w:ascii="Calibri" w:hAnsi="Calibri"/>
          <w:b/>
          <w:color w:val="6E8450"/>
          <w:sz w:val="18"/>
        </w:rPr>
        <w:t>4,600 Employees · https://www.griddynamics.com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Grid Dynamics has executed a meaningful strategic pivot from traditional IT consulting to AI-native services, with AI revenue reaching 30.7% of total in Q2 2026 (up from 29.3% in Q1), growing approximately 60% year-over-year [1][2]. The company delivered record 2025 revenue of $411.8M (+17.5% YoY) and launched an agentic AI platform with Temporal Technologies [3]. While this opened a substantial new revenue stream, the company remains fundamentally an IT services business. AI Deployment (2/2): Grid Dynamics ships AI-powered services to enterprise clients generating quantifiable revenue — AI revenue constituted ~$33M in Q2 2026 (30.7% of $108.2M) with over 100 successful AI implementations, the proprietary GAIN framework for AI development, and specific offerings in generative AI, data modernization, and agentic AI [1][3]. Market Share (0/2): Grid Dynamics is a small-cap IT services provider (~$616M market cap) competing against Accenture ($260B+), Infosys, EPAM, Cognizant, and Globant. No category leadership or documented share gains in any defined market segment [6]. Product Pipeline (1/2): The agentic AI platform with Temporal Technologies and AI-powered engagement model for Fortune 1000 enterprises are next-generation offerings with growing traction, but specific per-product timelines and revenue visibility are limited to general full-year guidance of $435-465M [1][3]. R&amp;D Intensity (1/1): Grid Dynamics invests significantly in proprietary AI platforms (GAIN framework, agentic AI platform), R&amp;D labs, and IP-driven solutions, transitioning from labor-scaled to IP-scaled growth — above the IT services industry norm of purely billable delivery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Grid Dynamics' stated purpose — 'mastery of orchestrating complexity' and building 'production-grade infrastructure for the Agentic AI age' — is a marketing-oriented description of services rather than a mission or cause [4]. It is interchangeable with dozens of IT services competitors and does not articulate why the company exists beyond serving clients and capturing market opportunity. Community Impact (0/2): No evidence of distinctive charitable programs, foundation, community investment, or Kingdom-building initiatives was found in public materials or recent filings. Employee Retention (0/2): No specific voluntary turnover, average tenure, or retention data is publicly available. Glassdoor reviews reveal mixed sentiment with some employees citing micromanagement and cultural concerns [5]. Insider Buying (0/2): No evidence of meaningful net insider buying by CEO Leonard Livschitz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Grid Dynamics maintains a fortress balance sheet with D/E of just 3.2%, scoring perfectly on leverage [6]. Forward P/E of 14.43x is well below the 20x target, reflecting attractive forward valuation despite the 253x trailing P/E caused by near-zero GAAP profitability [6]. Revenue growth YoY has decelerated sharply from 17.5% in 2025 to 7% in Q2 2026, scoring 0.9 against the 10% target [1]. The major drags are profit margin of 0.68% (near-zero vs. 20% target, scoring 0.03) and ROE of 0.54% (near-zero vs. 15% target, scoring 0.04 with 2x growth weight), reflecting severe margin compression as the AI pivot consumes profitability [6]. PEG ratio and 5-year revenue CAGR data are unavailable and excluded. The stock clears the liquidity floor with ~$14.4M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Grid Dynamics operates with a finite mindset typical of mid-tier IT services companies. The AI pivot demonstrates strategic awareness but is driven by market necessity rather than a deeply held Just Cause. CEO Leonard Livschitz brings experience and has navigated the AI transition, but the organization lacks distinctive purpose, suffers from reported leadership culture issues, and has not demonstrated the organizational trust or cause-driven decision-making that infinite game players exhibit [4][5].</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Grid Dynamics has no articulated Just Cause beyond serving clients and capturing AI market opportunity [4]. CEO Livschitz describes the company in purely operational terms — 'mastery of orchestrating complexity' and 'specialized capability that unifies strategic advisory expertise with technical prowess.' This is business positioning, not a vision of a better future. The company's strategy shifts with market demand (traditional IT to AI services), suggesting market optimization rather than cause-driven direction.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reveal a low-trust environment with concerns about micromanagement, belittling behavior on team calls, and perceived cultural favoritism under senior leadership [5]. For a professional services company where talent is the product, these are material indicators of fear-based management rather than Sinek's Circle of Safety. The engineering workforce spans multiple geographies with varying cultural dynamics, adding complexity to building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Grid Dynamics competes against much larger firms (Accenture, EPAM, Globant) and positions itself as a specialist AI integrator rather than attempting to beat them at scale [1]. The company's competitive strategy focuses on differentiation through proprietary AI platforms and deep engineering expertise rather than predatory pricing or market share warfare. CEO Livschitz's strategic focus on niche positioning reflects competitive self-awareness oriented toward self-improvement [4].</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Grid Dynamics has incrementally evolved from traditional IT consulting to AI-native services, with AI revenue growing from near-zero to 30.7% of total over approximately two years [1][2]. The agentic AI platform with Temporal Technologies and GAIN framework represent meaningful shifts from labor-scaled to IP-scaled delivery [3]. However, the company remains fundamentally an IT services business — the delivery model of engineering teams serving enterprise clients has not been transformed, only the technology focus has shifted.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invest aggressively in proprietary AI platforms and rebrand the company around AI services — while traditional IT work was still generating revenue — shows strategic courage [3]. Management accepted severe margin compression (profit margin falling to 0.68%) while building AI capabilities and partnerships [6]. However, this represents following an obvious market trend (enterprise AI adoption) rather than a costly contrarian bet, and the margin deterioration raises questions about execution discipline.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Grid Dynamics is a small-cap AI services company trading at 14.4x forward earnings with a fortress balance sheet (D/E 3.2%) and meaningful AI traction — 30.7% of Q2 2026 revenue from AI engagements, growing ~60% YoY [1][6]. The agentic AI platform with Temporal Technologies, proprietary GAIN framework, and 100+ enterprise AI implementations position the company to capture expanding enterprise AI budgets as organizations move from experimentation to production [3]. Full-year 2026 guidance of $435-465M represents continued growth from the $411.8M record in 2025. The forward valuation at 14.4x is attractive relative to IT services peers, and the Inspire ALIGNED rating (37) supports faith-based allocation [1].</w:t>
      </w:r>
    </w:p>
    <w:p>
      <w:pPr>
        <w:spacing w:after="120"/>
      </w:pPr>
      <w:r>
        <w:rPr>
          <w:rFonts w:ascii="Calibri" w:hAnsi="Calibri"/>
          <w:b w:val="0"/>
          <w:color w:val="3A4A28"/>
          <w:sz w:val="20"/>
        </w:rPr>
        <w:t>The bear case centers on collapsing profitability and existential AI disruption risk. Profit margin has deteriorated to 0.68% and ROE to 0.54%, suggesting the AI pivot is consuming profitability at an unsustainable rate — the company is winning AI revenue but cannot yet deliver it profitably [6]. Revenue growth has decelerated sharply from 17.5% in 2025 to 7% in Q2 2026, with trailing EPS declining 50% [1][6]. AI coding assistants and autonomous development tools (Copilot, Cursor, Devin) threaten the core value proposition of billable engineering hours — if AI tools accomplish what enterprises currently outsource to Grid Dynamics, the addressable market contracts. Employee reviews reveal leadership culture concerns including micromanagement and low-trust dynamics, which are critical weaknesses for a talent-dependent services business [5]. Competition from much larger, better-capitalized firms (Accenture, EPAM, Globant) that can outspend on AI R&amp;D threatens market position as AI services commoditize.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revenue mix expanding from 30.7% toward 40%+ of total as enterprises move from AI experimentation to production deployment, with ~60% YoY AI revenue growth potentially reaccelerating overall company growth [1][2]</w:t>
      </w:r>
    </w:p>
    <w:p>
      <w:pPr>
        <w:spacing w:before="40" w:after="40"/>
        <w:ind w:left="283"/>
      </w:pPr>
      <w:r>
        <w:rPr>
          <w:rFonts w:ascii="Calibri" w:hAnsi="Calibri"/>
          <w:b/>
          <w:color w:val="4A6B25"/>
          <w:sz w:val="20"/>
        </w:rPr>
        <w:t xml:space="preserve">2. </w:t>
      </w:r>
      <w:r>
        <w:rPr>
          <w:rFonts w:ascii="Calibri" w:hAnsi="Calibri"/>
          <w:b w:val="0"/>
          <w:color w:val="3A4A28"/>
          <w:sz w:val="20"/>
        </w:rPr>
        <w:t>Margin recovery as IP-scaled platforms (GAIN framework, agentic AI) replace labor-intensive delivery, potentially restoring profitability from 0.68% toward IT services norms of 8-12% [3][6]</w:t>
      </w:r>
    </w:p>
    <w:p>
      <w:pPr>
        <w:spacing w:before="40" w:after="40"/>
        <w:ind w:left="283"/>
      </w:pPr>
      <w:r>
        <w:rPr>
          <w:rFonts w:ascii="Calibri" w:hAnsi="Calibri"/>
          <w:b/>
          <w:color w:val="4A6B25"/>
          <w:sz w:val="20"/>
        </w:rPr>
        <w:t xml:space="preserve">3. </w:t>
      </w:r>
      <w:r>
        <w:rPr>
          <w:rFonts w:ascii="Calibri" w:hAnsi="Calibri"/>
          <w:b w:val="0"/>
          <w:color w:val="3A4A28"/>
          <w:sz w:val="20"/>
        </w:rPr>
        <w:t>Forward P/E of 14.4x represents meaningful discount to IT services peers, with potential valuation re-rating if profitability inflects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coding assistants and autonomous development tools (GitHub Copilot, Cursor, Devin) pose existential risk to the traditional billable engineering hours model that generates the majority of revenue [1]</w:t>
      </w:r>
    </w:p>
    <w:p>
      <w:pPr>
        <w:spacing w:before="40" w:after="40"/>
        <w:ind w:left="283"/>
      </w:pPr>
      <w:r>
        <w:rPr>
          <w:rFonts w:ascii="Calibri" w:hAnsi="Calibri"/>
          <w:b/>
          <w:color w:val="4A6B25"/>
          <w:sz w:val="20"/>
        </w:rPr>
        <w:t xml:space="preserve">2. </w:t>
      </w:r>
      <w:r>
        <w:rPr>
          <w:rFonts w:ascii="Calibri" w:hAnsi="Calibri"/>
          <w:b w:val="0"/>
          <w:color w:val="3A4A28"/>
          <w:sz w:val="20"/>
        </w:rPr>
        <w:t>Profitability collapse — 0.68% profit margin and 0.54% ROE leave no margin of safety; any revenue shortfall or pricing pressure could push the company into sustained losses [6]</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from 17.5% (2025) to 7% (Q2 2026) with risk that enterprise AI consulting commoditizes as larger competitors scale their practices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Grid Dynamics' core business of IT engineering and consulting faces genuine AI disruption risk. Coding assistants (GitHub Copilot, Cursor, Devin) and AI-powered development tools directly threaten demand for traditional software engineering services, which remains the company's foundational billable-hours offering [1]. Analysts have noted that AI disruption concerns have depressed GDYN's valuation, flagging substitution risk for portions of the engineering workforce. The company's pivot toward complex enterprise AI implementations — agentic AI, data modernization, AI strategy consulting — provides some protection, as these engagements require human judgment, domain expertise, and enterprise relationship management that AI tools cannot replicate [3]. However, revenue growth deceleration from 17.5% to 7% and profit margin collapse to 0.68% suggest the transition is painful, and the outcome remains uncertain [6]. AI Opportunity (1/1): Grid Dynamics generates quantifiable AI revenue — 30.7% of Q2 2026 revenue (~$33M) from AI-related engagements, growing approximately 60% year-over-year, with 100+ successful implementations and proprietary platforms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Grid Dynamics Q2 FY2026 Earnings — Revenue $108.2M (+7% YoY), AI Revenue 30.7% of Total, Non-GAAP Earnings $14.7M, Full-Year Guidance $435-$465M, Benzinga Transcript, September 2026</w:t>
      </w:r>
    </w:p>
    <w:p>
      <w:pPr>
        <w:spacing w:before="20" w:after="20"/>
        <w:ind w:left="170"/>
      </w:pPr>
      <w:r>
        <w:rPr>
          <w:rFonts w:ascii="Calibri" w:hAnsi="Calibri"/>
          <w:b/>
          <w:color w:val="4A6B25"/>
          <w:sz w:val="15"/>
        </w:rPr>
        <w:t xml:space="preserve">2. </w:t>
      </w:r>
      <w:r>
        <w:rPr>
          <w:rFonts w:ascii="Calibri" w:hAnsi="Calibri"/>
          <w:b w:val="0"/>
          <w:color w:val="3A4A28"/>
          <w:sz w:val="17"/>
        </w:rPr>
        <w:t>Grid Dynamics Q1 FY2026 Earnings — Revenue $104.1M (+3.7% YoY), AI Revenue 29.3% (~60% YoY AI Growth), EPS $0.09, Motley Fool/Yahoo Finance, May 2026</w:t>
      </w:r>
    </w:p>
    <w:p>
      <w:pPr>
        <w:spacing w:before="20" w:after="20"/>
        <w:ind w:left="170"/>
      </w:pPr>
      <w:r>
        <w:rPr>
          <w:rFonts w:ascii="Calibri" w:hAnsi="Calibri"/>
          <w:b/>
          <w:color w:val="4A6B25"/>
          <w:sz w:val="15"/>
        </w:rPr>
        <w:t xml:space="preserve">3. </w:t>
      </w:r>
      <w:r>
        <w:rPr>
          <w:rFonts w:ascii="Calibri" w:hAnsi="Calibri"/>
          <w:b w:val="0"/>
          <w:color w:val="3A4A28"/>
          <w:sz w:val="17"/>
        </w:rPr>
        <w:t>Grid Dynamics Agentic AI Platform (Temporal Technologies), GAIN Framework, AI-Powered Engagement Model — Company Press Releases/BusinessWire, 2025-2026</w:t>
      </w:r>
    </w:p>
    <w:p>
      <w:pPr>
        <w:spacing w:before="20" w:after="20"/>
        <w:ind w:left="170"/>
      </w:pPr>
      <w:r>
        <w:rPr>
          <w:rFonts w:ascii="Calibri" w:hAnsi="Calibri"/>
          <w:b/>
          <w:color w:val="4A6B25"/>
          <w:sz w:val="15"/>
        </w:rPr>
        <w:t xml:space="preserve">4. </w:t>
      </w:r>
      <w:r>
        <w:rPr>
          <w:rFonts w:ascii="Calibri" w:hAnsi="Calibri"/>
          <w:b w:val="0"/>
          <w:color w:val="3A4A28"/>
          <w:sz w:val="17"/>
        </w:rPr>
        <w:t>Grid Dynamics Leadership and AI Strategy — CEO Leonard Livschitz, griddynamics.com,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Grid Dynamics Employee Reviews and Culture — Glassdoor,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GDYN Key Statistics: Forward P/E 14.43x, Trailing P/E 253x, ROE 0.54%, D/E 3.2%, Profit Margin 0.68%, Stock Price $7.59,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