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GERN</w:t>
      </w:r>
      <w:r>
        <w:rPr>
          <w:rFonts w:ascii="Calibri" w:hAnsi="Calibri"/>
          <w:b/>
          <w:color w:val="1A2010"/>
          <w:sz w:val="40"/>
        </w:rPr>
        <w:t xml:space="preserve">  Geron Corporation</w:t>
      </w:r>
    </w:p>
    <w:p>
      <w:pPr>
        <w:spacing w:after="120"/>
      </w:pPr>
      <w:r>
        <w:rPr>
          <w:rFonts w:ascii="Calibri" w:hAnsi="Calibri"/>
          <w:b/>
          <w:color w:val="6E8450"/>
          <w:sz w:val="18"/>
        </w:rPr>
        <w:t>GROWTH SLEEVE · 2026-10-04 · Inspire: 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Geron Corporation is a biopharmaceutical company focused on developing and commercializing therapeutics based on its telomerase biology platform. Founded in 1992, the company achieved FDA approval of RYTELO (imetelstat) in June 2024 for second-line lower-risk myelodysplastic syndromes (MDS). Q2 2026 RYTELO net product revenue reached $57.5M (+11% sequentially, +17% YoY), with H1 2026 revenue growing 24% YoY while operating expenses decreased 4%. 2026 guidance raised toward $230-240M (high end of prior $220-240M range). ~1,575 ordering accounts. Advancing Phase 3 myelofibrosis trial. Market cap ~$771M with $300.8M cash.</w:t>
      </w:r>
    </w:p>
    <w:p>
      <w:r>
        <w:rPr>
          <w:rFonts w:ascii="Calibri" w:hAnsi="Calibri"/>
          <w:b/>
          <w:color w:val="6E8450"/>
          <w:sz w:val="18"/>
        </w:rPr>
        <w:t>258 Employees · https://www.geron.com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Geron achieved FDA approval of RYTELO (imetelstat) in June 2024 — the first-ever approved telomerase inhibitor and a novel mechanism of action for lower-risk MDS after 30+ years of research [1]. Revenue ramped from near-zero to $57.5M quarterly in just two years, with ordering accounts growing 8% sequentially to ~1,575 in Q2 2026. H1 2026 revenue grew 24% YoY while total operating expenses declined 4%, demonstrating improving operating leverage. AI Deployment (0/2): No evidence of AI-powered products or quantified AI-driven cost savings. Geron is a traditional biopharma company focused on clinical development and commercialization. Market Share (2/2): RYTELO is the only approved telomerase inhibitor worldwide and the sole FDA-approved therapy specifically for second-line lower-risk MDS, addressing approximately 8,000 eligible U.S. patients [1]. As first-in-class with no direct competitors in this mechanism, Geron holds 100% share of the telomerase inhibitor category. Product Pipeline (1/2): Geron is advancing a Phase 3 trial of imetelstat for relapsed/refractory myelofibrosis, a larger potential market than MDS [1]. Chinmaya Rath was appointed Chief Business Officer to expand the commercial portfolio. However, the myelofibrosis trial timeline and regulatory path remain uncertain. R&amp;D Intensity (1/1): R&amp;D spending represents approximately 38% of revenue — well above the biopharma industry average, reflecting continued investment in pipeline expansion beyond the approved MDS indication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Geron's culture emphasizes 'Pioneering Pathways' — leading with curiosity, challenging assumptions, and learning from setbacks [2]. The company's 30+ years of dedication to telomerase biology for cancer patients represents genuine scientific conviction. However, the mission is a description of scientific activities rather than a transformative vision of a better future that inspires broad stakeholder sacrifice. Community Impact (0/2): No evidence of charitable programs, community investment, or philanthropic activity was found for this 258-person biotech company. ESG pillars focus on Healthier People, Human Capital, and Governance but lack specific community investment programs with quantified impact [3]. Employee Retention (0/2): The workforce declined from approximately 400 to 258 employees, suggesting significant organizational restructuring. Previous Glassdoor reviews (2.7/5 overall, 2.5/5 culture) described an environment where 'senior leadership is terrified of speaking up' and corporate culture 'evaporated' under leadership changes. The recent appointment of four new executives in October 2025 under CEO Semerjian signals continuing organizational flux. Insider Buying (0/2): No evidence of meaningful net insider buying by CEO Harout Semerjian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Rev Growth 5yr CAGR and PEG excluded (RYTELO launched mid-2024; no meaningful historical revenue base). D/E of 55.9% scores 1.0 (1x weight) — conservative leverage with $300.8M cash against $122.1M debt providing multi-year runway [4]. Revenue growth YoY of 17.2% scores 1.0 (1x weight), driven by continued RYTELO adoption with ordering accounts growing 8% sequentially [1]. Forward P/E of 30.0x is above the 20x target but below the 60x floor, scoring 0.75 (1x weight). However, ROE of -28.3% scores 0 (2x weight) and profit margin of -33.1% scores 0 (1x weight), reflecting the company's pre-profitability status as RYTELO revenue scales toward operating expense coverage [1]. Free cash flow remains negative at -$78.4M annually. Weighted sum: 2.75/6.0 = 5. Passes liquidity floor with ~$12.5M daily dollar volume ($1.20 x 10.4M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Geron presents a paradox in the infinite game framework — the company demonstrated extraordinary scientific persistence through 30+ years of pre-revenue telomerase research, which is inherently infinite-minded. The June 2024 FDA approval of RYTELO validated this decades-long commitment. However, the organizational culture shows finite-game symptoms: low employee trust (Glassdoor 2.5/5 culture), significant workforce reduction from ~400 to 258, leadership instability with CEO change and four new executives in 2025, and a rigid single-thesis focus that prevents the flexibility Sinek values. The scientific conviction that sustained the company is genuine, but the organization may not be built to endure beyond its founding hypothesis.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Geron's 30+ year dedication to telomerase biology represents genuine conviction in a scientific approach to cancer treatment — the company persisted through decades of losses, skepticism, and multiple leadership changes without abandoning its core thesis [1]. The FDA approval of RYTELO validated this persistence in a way few biotech companies achieve. However, the cause is more scientific thesis validation ('telomerase inhibition can treat cancer') than a Sinek-style Just Cause about a better future. It is specific and has clearly shaped strategic decisions, but the recent leadership turnover and cultural issues suggest the cause may not outlast the founding scientific team.</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workforce declined from approximately 400 to 258 employees — a ~35% reduction suggesting significant organizational restructuring. Previous Glassdoor reviews rated culture at 2.5/5 (23% below biopharma industry average) with descriptions of leadership dysfunction and fear-based dynamics [2]. The near-complete executive team replacement in 2025 (new CEO, CBO, and four other executives) creates organizational instability during the critical commercialization phase. When an organization replaces most of its leadership simultaneously, the Circle of Safety contracts.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only approved telomerase inhibitor, Geron has no direct competitors in its niche. The company does not publicly discuss rival companies or therapies as sources of learning or self-improvement [1]. The competitive narrative focuses on RYTELO market penetration (ordering accounts growing to ~1,575) and patient share of the ~8,000 eligible population rather than competitive dynamics that drive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Geron has maintained a rigid focus on telomerase biology for 30+ years — the exact opposite of existential flexibility [1]. While this persistence ultimately paid off with RYTELO's approval, the company has never fundamentally reinvented itself. The divestiture of stem cell assets to focus exclusively on imetelstat represents strategic narrowing rather than transformative reinvention. The myelofibrosis Phase 3 trial is a label expansion of the same drug, not a strategic pivot. In Sinek's framework, persistence in one thesis is admirable but distinct from the willingness to abandon what works in service of what must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Geron's persistence through 30+ years of pre-revenue telomerase research, multiple capital raises, and intense investor skepticism demonstrates choosing long-term scientific investment over short-term financial returns [1]. The decision to continue investing in imetelstat when many biotech companies would have pivoted or sold the asset required genuine conviction. New CEO Harout Semerjian (since August 2025) brings 30 years of hematology/oncology commercialization experience from Novartis (17 years, led Gleevec and KISQALI) [2]. However, the courage is primarily scientific persistence rather than values-based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Geron's RYTELO franchise is demonstrating sustained commercial traction with Q2 2026 net product revenue of $57.5M (+11% sequentially, +17% YoY) and ordering accounts growing 8% to ~1,575 [1]. H1 2026 revenue grew 24% YoY while operating expenses declined 4%, showing improving operating leverage. The company raised 2026 guidance toward $230-240M (high end of prior range), with RYTELO demand growing 5% sequentially in Q2. RYTELO holds a first-in-class monopoly as the only approved telomerase inhibitor for second-line lower-risk MDS with no direct competitors. The balance sheet is conservative (D/E 55.9%, $300.8M cash providing multi-year runway) with no near-term dilution risk [4]. The Phase 3 myelofibrosis trial represents a pipeline catalyst that could expand the addressable market beyond the ~8,000 MDS patient base. Inspire Impact Score of 12 (MIXED) is neutral for faith-based allocation.</w:t>
      </w:r>
    </w:p>
    <w:p>
      <w:pPr>
        <w:spacing w:after="120"/>
      </w:pPr>
      <w:r>
        <w:rPr>
          <w:rFonts w:ascii="Calibri" w:hAnsi="Calibri"/>
          <w:b w:val="0"/>
          <w:color w:val="3A4A28"/>
          <w:sz w:val="20"/>
        </w:rPr>
        <w:t>The bear case centers on the narrow commercial base, deteriorating profitability metrics, and organizational challenges. RYTELO's entire revenue derives from a single approved indication with a small addressable market of ~8,000 patients — any competitor approval, safety signal, or reimbursement restriction could devastate the franchise [1]. Profit margin has worsened to -33.1% and ROE remains deeply negative at -28.3%, with free cash flow at -$78.4M annually, suggesting profitability remains quarters away despite growing revenue [4]. The stock has declined from $1.48 to $1.20 since August 2026, with the penny-stock price creating institutional investor reluctance. The workforce reduction from ~400 to 258 employees and Glassdoor culture rating of 2.5/5 signal organizational fragility during a critical commercialization ramp. Forward P/E of 30x prices in a profitability transition that has not yet materialized. The myelofibrosis Phase 3 trial is high-risk/high-reward — failure would cap RYTELO as a single-indication product with limited growth runway. Cash of $300.8M against annual burn provides adequate runway but is declining.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RYTELO revenue inflection toward profitability — H1 2026 showed 24% revenue growth with 4% operating expense reduction, and 2026 guidance of $230-240M positions the company for operating breakeven as quarterly revenue exceeds quarterly operating costs [1]</w:t>
      </w:r>
    </w:p>
    <w:p>
      <w:pPr>
        <w:spacing w:before="40" w:after="40"/>
        <w:ind w:left="283"/>
      </w:pPr>
      <w:r>
        <w:rPr>
          <w:rFonts w:ascii="Calibri" w:hAnsi="Calibri"/>
          <w:b/>
          <w:color w:val="4A6B25"/>
          <w:sz w:val="20"/>
        </w:rPr>
        <w:t xml:space="preserve">2. </w:t>
      </w:r>
      <w:r>
        <w:rPr>
          <w:rFonts w:ascii="Calibri" w:hAnsi="Calibri"/>
          <w:b w:val="0"/>
          <w:color w:val="3A4A28"/>
          <w:sz w:val="20"/>
        </w:rPr>
        <w:t>Phase 3 myelofibrosis trial readout — positive data would significantly expand imetelstat's addressable market beyond the ~8,000 second-line MDS patients and potentially drive a fundamental re-rating of the stock [1]</w:t>
      </w:r>
    </w:p>
    <w:p>
      <w:pPr>
        <w:spacing w:before="40" w:after="40"/>
        <w:ind w:left="283"/>
      </w:pPr>
      <w:r>
        <w:rPr>
          <w:rFonts w:ascii="Calibri" w:hAnsi="Calibri"/>
          <w:b/>
          <w:color w:val="4A6B25"/>
          <w:sz w:val="20"/>
        </w:rPr>
        <w:t xml:space="preserve">3. </w:t>
      </w:r>
      <w:r>
        <w:rPr>
          <w:rFonts w:ascii="Calibri" w:hAnsi="Calibri"/>
          <w:b w:val="0"/>
          <w:color w:val="3A4A28"/>
          <w:sz w:val="20"/>
        </w:rPr>
        <w:t>Ordering account expansion — ~1,575 accounts growing 8% sequentially suggests RYTELO penetration of the target physician base is accelerating, with potential to drive revenue growth even at stable per-patient economics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dependency — 100% of revenue derives from RYTELO for one approved indication with ~8,000 eligible patients; a safety signal, competitor approval in telomerase inhibition, or CMS reimbursement restriction could crater the franchise overnight [1]</w:t>
      </w:r>
    </w:p>
    <w:p>
      <w:pPr>
        <w:spacing w:before="40" w:after="40"/>
        <w:ind w:left="283"/>
      </w:pPr>
      <w:r>
        <w:rPr>
          <w:rFonts w:ascii="Calibri" w:hAnsi="Calibri"/>
          <w:b/>
          <w:color w:val="4A6B25"/>
          <w:sz w:val="20"/>
        </w:rPr>
        <w:t xml:space="preserve">2. </w:t>
      </w:r>
      <w:r>
        <w:rPr>
          <w:rFonts w:ascii="Calibri" w:hAnsi="Calibri"/>
          <w:b w:val="0"/>
          <w:color w:val="3A4A28"/>
          <w:sz w:val="20"/>
        </w:rPr>
        <w:t>Pre-profitability cash burn — profit margin of -33.1%, ROE of -28.3%, and free cash flow of -$78.4M annually mean profitability depends on continued revenue growth without margin compression; $300.8M cash provides runway but is declining [4]</w:t>
      </w:r>
    </w:p>
    <w:p>
      <w:pPr>
        <w:spacing w:before="40" w:after="40"/>
        <w:ind w:left="283"/>
      </w:pPr>
      <w:r>
        <w:rPr>
          <w:rFonts w:ascii="Calibri" w:hAnsi="Calibri"/>
          <w:b/>
          <w:color w:val="4A6B25"/>
          <w:sz w:val="20"/>
        </w:rPr>
        <w:t xml:space="preserve">3. </w:t>
      </w:r>
      <w:r>
        <w:rPr>
          <w:rFonts w:ascii="Calibri" w:hAnsi="Calibri"/>
          <w:b w:val="0"/>
          <w:color w:val="3A4A28"/>
          <w:sz w:val="20"/>
        </w:rPr>
        <w:t>Organizational fragility — ~35% workforce reduction from 400 to 258, Glassdoor culture rating of 2.5/5, and near-complete executive team replacement in 2025 create execution risk during the most critical commercialization phase in the company's 34-year history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Geron's core business — developing and commercializing FDA-approved cancer therapeutics — is structurally immune to AI disruption. RYTELO (imetelstat) is a physical drug requiring biological manufacturing of a synthetic oligonucleotide and administered via IV infusion to patients with myelodysplastic syndromes [1]. AI cannot substitute for a therapeutic that modifies telomerase activity in cancerous blood cells. The regulatory moat is massive — FDA approval, composition of matter patents, first-in-class status, and the years-long clinical trial process required for any competitor create deep structural protection. Drug development requires physical clinical trials with human patients that exist entirely beyond the digital domain. AI may accelerate competitor drug discovery timelines, but this represents a general competitive pressure rather than a disruption to the approved RYTELO franchise. AI Opportunity (0/1): Geron does not generate revenue from AI-related products or services. AI could theoretically aid internal drug discovery efforts, but no AI revenue, AI-powered products, or quantified AI-driven efficiencies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Geron Corporation Q2 2026 Financial Results — RYTELO Revenue $57.5M (+17% YoY, +11% QoQ), H1 Revenue +24% YoY, OpEx -4% YoY, 2026 Guidance $230-240M (High End), ~1,575 Ordering Accounts (+8%), Demand +5% — ir.geron.com/GlobeNewsWire,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Geron Corporation Leadership &amp; Culture — CEO Harout Semerjian (since August 2025), Novartis Veteran (17 Years), 'Pioneering Pathways' Culture, Four New Executives October 2025, 258 Employees — geron.com/SEC Filings, 2025-2026</w:t>
      </w:r>
    </w:p>
    <w:p>
      <w:pPr>
        <w:spacing w:before="20" w:after="20"/>
        <w:ind w:left="170"/>
      </w:pPr>
      <w:r>
        <w:rPr>
          <w:rFonts w:ascii="Calibri" w:hAnsi="Calibri"/>
          <w:b/>
          <w:color w:val="4A6B25"/>
          <w:sz w:val="15"/>
        </w:rPr>
        <w:t xml:space="preserve">3. </w:t>
      </w:r>
      <w:r>
        <w:rPr>
          <w:rFonts w:ascii="Calibri" w:hAnsi="Calibri"/>
          <w:b w:val="0"/>
          <w:color w:val="3A4A28"/>
          <w:sz w:val="17"/>
        </w:rPr>
        <w:t>Geron Corporation ESG — Healthier People/Human Capital/Governance Pillars, Does Not Report Environmental Emissions, Compensation Committee Reviews Corporate Values — SEC 10-Q/DEF 14A,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GERN Key Statistics: Forward P/E 30.0x, D/E 55.9%, ROE -28.3%, Profit Margin -33.1%, Stock Price $1.20, Market Cap $771M, Cash $300.8M, Avg Volume 10.4M,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