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GFL</w:t>
      </w:r>
      <w:r>
        <w:rPr>
          <w:rFonts w:ascii="Calibri" w:hAnsi="Calibri"/>
          <w:b/>
          <w:color w:val="1A2010"/>
          <w:sz w:val="40"/>
        </w:rPr>
        <w:t xml:space="preserve">  GFL Environmental Inc.</w:t>
      </w:r>
    </w:p>
    <w:p>
      <w:pPr>
        <w:spacing w:after="120"/>
      </w:pPr>
      <w:r>
        <w:rPr>
          <w:rFonts w:ascii="Calibri" w:hAnsi="Calibri"/>
          <w:b/>
          <w:color w:val="6E8450"/>
          <w:sz w:val="18"/>
        </w:rPr>
        <w:t>GROWTH SLEEVE · 2026-09-17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Waste Management · NYSE · United States</w:t>
      </w:r>
    </w:p>
    <w:p>
      <w:pPr>
        <w:spacing w:after="80"/>
      </w:pPr>
      <w:r>
        <w:rPr>
          <w:rFonts w:ascii="Calibri" w:hAnsi="Calibri"/>
          <w:b w:val="0"/>
          <w:color w:val="3A4A28"/>
          <w:sz w:val="20"/>
        </w:rPr>
        <w:t>GFL Environmental is the fourth-largest diversified environmental services company in North America, providing solid waste collection, transfer, recycling, and disposal services across Canada and the United States, alongside soil remediation and liquid waste management. Founded and led by CEO Patrick Dovigi, GFL has grown primarily through acquisition, most recently the $4.6B pending Secure Waste hazardous-waste deal, while divesting the non-core Green Infrastructure Partners business for $4.25B in 2025. FY2025 revenue reached $6.62B with record adjusted EBITDA margin of 30%, and 2026 guidance calls for ~$7.5B in revenue.</w:t>
      </w:r>
    </w:p>
    <w:p>
      <w:r>
        <w:rPr>
          <w:rFonts w:ascii="Calibri" w:hAnsi="Calibri"/>
          <w:b/>
          <w:color w:val="6E8450"/>
          <w:sz w:val="18"/>
        </w:rPr>
        <w:t>15,500 Employees · https://gflenv.com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GFL has executed a rapid roll-up strategy to become the 4th-largest North American environmental services company, posting a record 30% adjusted EBITDA margin in 2025 and 23.6% growth in adjusted free cash flow to $755.9M, while strategically divesting the non-core Green Infrastructure Partners unit for $4.25B to focus capital on core waste operations [1]. AI Deployment (0/2): CEO Dovigi references 'AI efficiency' as a stated priority alongside the pending $4.6B Secure Waste acquisition, but no concrete AI product, platform, or quantified operational result was identified in research [2]. Market Share (1/2): GFL holds a solid #4 position in a consolidating North American waste industry behind Waste Management, Republic Services, and Waste Connections, with continued scale gained through M&amp;A. Pipeline (1/2): The pending Secure Waste hazardous-waste acquisition and ongoing renewable natural gas (RNG) projects extend GFL into higher-margin adjacent categories [2]. R&amp;D Intensity (1/1): Not a core differentiator in waste management, but GFL's RNG and EPR (extended producer responsibility) policy engagement reflect above-baseline investment in emerging waste-to-energy technology for the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GFL's stated commitment to 'operational excellence, sustainability and safety' is standard industry language without a distinctive articulation of purpose beyond running an efficient waste business [2]. Community Impact (1/2): The company's 2021 Sustainability Action Plan addresses employee health and safety, recyclables recovery, GHG reduction, and biodiversity, but recent public reporting emphasizes deal-making over updated, quantified community outcomes [3]. Employee Retention (1/2): Increased focus on leading-indicator safety metrics under Dovigi's leadership shows some investment in workforce well-being, though 15,500 employees operate within a founder-controlled structure with limited public culture data [2]. Insider Buying (0/2): Governance red flags weigh heavily here — GFL disclosed $14.3M in 2025 lease payments to related parties including entities controlled by CEO Dovigi and an undisclosed director, and shareholders registered 36% opposition to Say-on-Pay and over 20% opposition to four governance/compensation committee directors, indicating a credibility gap between management interests and public shareholders rather than confidence-building insider alignment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Growth-sleeve weights (ROE 2x, Rev Growth 5yr CAGR 2x; PEG unavailable and excluded from the weighted average). Revenue growth of 16.3% YoY and an estimated 5-year revenue CAGR of ~13% (roll-up-driven growth from ~$3.7B in 2020 to ~$7.5B guided 2026) both clear their 10% targets (scores 1.0) [1]. D/E of 134.5% partially clears the 300% floor relative to the 70% target (score 0.72). Forward P/E of 38.9 partially clears its 60% floor relative to the 20 target (score 0.53). ROE of -2.25% and profit margin of -2.87% are both negative, scoring 0.0 against targets of 15% and 20% respectively — GFL is running a GAAP net loss despite strong revenue growth and record EBITDA margins, reflecting heavy depreciation, interest expense, and integration costs from its acquisition-funded growth model [4]. Liquidity floor cleared comfortably at ~$114.7M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GFL pursues legitimate environmental infrastructure — waste diversion, RNG, biodiversity programs — but persistent governance red flags under founder-CEO Dovigi (undisclosed related-party leases, a dual-class share structure granting him 25.5% voting control on less than 6% economic ownership, and double-digit shareholder opposition votes) point to a company still substantially organized around founder control and consolidation economics rather than a trust-based, enduring institutional culture.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Environmental services carries inherent public-good value (waste diversion, emissions reduction, RNG), but GFL's public narrative centers on M&amp;A-driven scale (Secure Waste, prior GIP divestiture) rather than an articulated cause, and the related-party governance issues undercut the credibility of a stated sustainability mission [2][3].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disclosure of $14.3M in 2025 related-party lease payments to entities controlled by Dovigi and an undisclosed director, without full line-item transparency, is a direct trust deficit between leadership and shareholders that likely extends to broader governance perception [3].</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partial): GFL operates within a rational oligopoly alongside Waste Management, Republic Services, and Waste Connections, and its acquisition strategy implicitly benchmarks against these larger peers' scale and margins, though public commentary emphasizes competitive scale-building rather than learning-oriented rivalry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2025 divestiture of Green Infrastructure Partners for $4.25B to refocus on core waste operations, paired with the pending $4.6B Secure Waste hazardous-waste acquisition, shows real portfolio reshaping capability, though the underlying roll-up business model itself has not fundamentally changed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Despite 36% shareholder opposition to Say-on-Pay and over 20% opposition to four governance-committee directors, GFL has not made visible governance reforms in response — maintaining the dual-class structure and related-party lease arrangements rather than addressing investor concerns directly, which reads as prioritizing founder control over responsive leadership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GFL Environmental has built a genuine #4 position in North American environmental services through disciplined acquisition, delivering a record 30% adjusted EBITDA margin and 23.6% adjusted free cash flow growth to $755.9M in 2025, with 2026 guidance calling for further margin expansion to ~30.6% on ~$7.5B in revenue [1]. The waste-collection business model is structurally insulated from AI disruption — physical collection and landfill capacity cannot be automated away — while RNG and EPR-related initiatives create incremental, higher-margin growth adjacencies [2]. The 2025 divestiture of the non-core Green Infrastructure Partners unit for $4.25B, redeployed toward the pending $4.6B Secure Waste hazardous-waste acquisition, shows disciplined portfolio management focused on core competency.</w:t>
      </w:r>
    </w:p>
    <w:p>
      <w:pPr>
        <w:spacing w:after="120"/>
      </w:pPr>
      <w:r>
        <w:rPr>
          <w:rFonts w:ascii="Calibri" w:hAnsi="Calibri"/>
          <w:b w:val="0"/>
          <w:color w:val="3A4A28"/>
          <w:sz w:val="20"/>
        </w:rPr>
        <w:t>The bear case is twofold: financial and governance. GFL posted a GAAP net loss with ROE of -2.25% and profit margin of -2.87% despite record EBITDA margins, reflecting the heavy depreciation and interest burden of its debt-funded roll-up strategy, and D/E of 134.5% leaves less room for error if acquisition integration underperforms [4]. More seriously, governance disclosures reveal $14.3M in 2025 lease payments to related parties including entities controlled by CEO Dovigi and an unnamed director without full transparency, a dual-class share structure giving Dovigi 25.5% voting control on under 6% economic ownership, and shareholder opposition of 36% on Say-on-Pay and over 20% on four governance-committee directors [3]. These are the kinds of related-party and control-concentration red flags that historically precede either activist pressure or a governance-driven derating, and they weigh heavily on GFL's Infinite Game and Inspiration scores independent of the company's legitimate operational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integration of the pending $4.6B Secure Waste hazardous-waste acquisition, extending GFL into a higher-margin adjacent category and supporting the ~$7.5B 2026 revenue guidance [1][2]</w:t>
      </w:r>
    </w:p>
    <w:p>
      <w:pPr>
        <w:spacing w:before="40" w:after="40"/>
        <w:ind w:left="283"/>
      </w:pPr>
      <w:r>
        <w:rPr>
          <w:rFonts w:ascii="Calibri" w:hAnsi="Calibri"/>
          <w:b/>
          <w:color w:val="4A6B25"/>
          <w:sz w:val="20"/>
        </w:rPr>
        <w:t xml:space="preserve">2. </w:t>
      </w:r>
      <w:r>
        <w:rPr>
          <w:rFonts w:ascii="Calibri" w:hAnsi="Calibri"/>
          <w:b w:val="0"/>
          <w:color w:val="3A4A28"/>
          <w:sz w:val="20"/>
        </w:rPr>
        <w:t>Continued RNG project buildout and EPR policy tailwinds translating into incremental EBITDA margin expansion beyond the record 30% achieved in 2025 [2]</w:t>
      </w:r>
    </w:p>
    <w:p>
      <w:pPr>
        <w:spacing w:before="40" w:after="40"/>
        <w:ind w:left="283"/>
      </w:pPr>
      <w:r>
        <w:rPr>
          <w:rFonts w:ascii="Calibri" w:hAnsi="Calibri"/>
          <w:b/>
          <w:color w:val="4A6B25"/>
          <w:sz w:val="20"/>
        </w:rPr>
        <w:t xml:space="preserve">3. </w:t>
      </w:r>
      <w:r>
        <w:rPr>
          <w:rFonts w:ascii="Calibri" w:hAnsi="Calibri"/>
          <w:b w:val="0"/>
          <w:color w:val="3A4A28"/>
          <w:sz w:val="20"/>
        </w:rPr>
        <w:t>Deleveraging from the $4.25B Green Infrastructure Partners divestiture proceeds improving the D/E ratio of 134.5% and creating capacity for GAAP profitability to catch up to EBITDA margin gains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Undisclosed related-party lease payments ($14.3M in 2025) to entities controlled by CEO Dovigi and an unnamed director, combined with a dual-class structure giving Dovigi 25.5% voting control on under 6% economic ownership, are governance red flags that could trigger activist pressure, litigation, or a valuation derating [3]</w:t>
      </w:r>
    </w:p>
    <w:p>
      <w:pPr>
        <w:spacing w:before="40" w:after="40"/>
        <w:ind w:left="283"/>
      </w:pPr>
      <w:r>
        <w:rPr>
          <w:rFonts w:ascii="Calibri" w:hAnsi="Calibri"/>
          <w:b/>
          <w:color w:val="4A6B25"/>
          <w:sz w:val="20"/>
        </w:rPr>
        <w:t xml:space="preserve">2. </w:t>
      </w:r>
      <w:r>
        <w:rPr>
          <w:rFonts w:ascii="Calibri" w:hAnsi="Calibri"/>
          <w:b w:val="0"/>
          <w:color w:val="3A4A28"/>
          <w:sz w:val="20"/>
        </w:rPr>
        <w:t>GAAP net losses (ROE -2.25%, profit margin -2.87%) despite record EBITDA margins show heavy debt-service and depreciation burden from the acquisition-funded growth model; a slowdown in accretive M&amp;A could expose the gap between EBITDA and true earnings power [4]</w:t>
      </w:r>
    </w:p>
    <w:p>
      <w:pPr>
        <w:spacing w:before="40" w:after="40"/>
        <w:ind w:left="283"/>
      </w:pPr>
      <w:r>
        <w:rPr>
          <w:rFonts w:ascii="Calibri" w:hAnsi="Calibri"/>
          <w:b/>
          <w:color w:val="4A6B25"/>
          <w:sz w:val="20"/>
        </w:rPr>
        <w:t xml:space="preserve">3. </w:t>
      </w:r>
      <w:r>
        <w:rPr>
          <w:rFonts w:ascii="Calibri" w:hAnsi="Calibri"/>
          <w:b w:val="0"/>
          <w:color w:val="3A4A28"/>
          <w:sz w:val="20"/>
        </w:rPr>
        <w:t>D/E of 134.5% leaves reduced flexibility if the pending Secure Waste integration underperforms or credit markets tighten, given GFL's continued reliance on debt-funded acquisitions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GFL's core business — physical waste collection, transfer, recycling, and disposal via trucks, transfer stations, and landfills — is essentially immune to direct AI substitution; garbage still has to be physically collected and processed regardless of AI advances [1]. Local permitting, landfill capacity, and route density create durable geographic moats that AI cannot disrupt. Some AI-adjacent risk exists around route optimization and back-office automation compressing overhead costs industry-wide, but this favors incumbents with scale (like GFL) over new entrants. AI Opportunity (1/1): CEO Dovigi has flagged AI efficiency gains alongside RNG (renewable natural gas) project development as growth and margin levers, contributing to the company's record 30% adjusted EBITDA margin in 2025, though the AI-specific contribution is not separately quantified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GFL Environmental Q4/FY2025 Earnings Release and FY2026 Guidance (~$7.5B revenue, ~30.6% EBITDA margin, $835M adjusted FCF) — investors.gflenv.com, Waste360,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GFL CEO Patrick Dovigi on AI, EPR, RNG, and the pending $4.6B Secure Waste acquisition — Waste Dive, IndexBox,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GFL Environmental related-party lease disclosures, Say-on-Pay opposition (36%), governance committee director opposition (20%+), dual-class share structure — Glass Lewis Controversy Alert, Intelligence Line,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yfinance — GFL key statistics: price $41.07, forward P/E 38.87, D/E 134.5%, ROE -2.25%, profit margin -2.87%, revenue growth 16.3% YoY, avg volume 2.79M,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