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GGAL</w:t>
      </w:r>
      <w:r>
        <w:rPr>
          <w:rFonts w:ascii="Calibri" w:hAnsi="Calibri"/>
          <w:b/>
          <w:color w:val="1A2010"/>
          <w:sz w:val="40"/>
        </w:rPr>
        <w:t xml:space="preserve">  Grupo Financiero Galicia S.A.</w:t>
      </w:r>
    </w:p>
    <w:p>
      <w:pPr>
        <w:spacing w:after="120"/>
      </w:pPr>
      <w:r>
        <w:rPr>
          <w:rFonts w:ascii="Calibri" w:hAnsi="Calibri"/>
          <w:b/>
          <w:color w:val="6E8450"/>
          <w:sz w:val="18"/>
        </w:rPr>
        <w:t>GROWTH SLEEVE · 2026-09-27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Argentina</w:t>
      </w:r>
    </w:p>
    <w:p>
      <w:pPr>
        <w:spacing w:after="80"/>
      </w:pPr>
      <w:r>
        <w:rPr>
          <w:rFonts w:ascii="Calibri" w:hAnsi="Calibri"/>
          <w:b w:val="0"/>
          <w:color w:val="3A4A28"/>
          <w:sz w:val="20"/>
        </w:rPr>
        <w:t>Grupo Financiero Galicia S.A. is a leading Argentine financial services holding company operating primarily through its subsidiary Banco de Galicia y Buenos Aires S.A.U., one of Argentina's largest private-sector banks. The group provides commercial and retail banking, insurance (Galicia Seguros), asset management, and digital financial services. Founded in 1905, headquartered in Buenos Aires. The 2024-2025 acquisition of HSBC Argentina roughly doubled the bank's scale. CEO Fabian Enrique Kon has led the group since July 2020 with Chairman Eduardo Escasany providing continuity since 2010. Q2 2026 net income reached ARS 258.3B (+34% YoY), signaling recovery from Q1's -66% decline. Market cap approximately $6.6B.</w:t>
      </w:r>
    </w:p>
    <w:p>
      <w:r>
        <w:rPr>
          <w:rFonts w:ascii="Calibri" w:hAnsi="Calibri"/>
          <w:b/>
          <w:color w:val="6E8450"/>
          <w:sz w:val="18"/>
        </w:rPr>
        <w:t>12,000 Employees · https://www.gfgsa.com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acquisition of HSBC Argentina in 2024-2025 was a transformative deal that approximately doubled Grupo Galicia's scale, integrating a major international bank's Argentine operations into the domestic franchise — one of the largest banking M&amp;A transactions in Argentine history [1][2]. Digital banking app improvements and branch network expansion demonstrate continued modernization, and Q2 2026 net income of ARS 258.3B (+34% YoY) suggests the integration is beginning to deliver results [1]. AI Deployment (0/2): No evidence of AI-powered products or quantified AI-driven efficiency gains; Argentine banking lags global peers in AI adoption, and neither earnings calls nor press releases reference AI deployment [2]. Market Share (2/2): Following the HSBC acquisition, Banco Galicia is among the top three private-sector banks in Argentina with a dominant retail presence and extensive branch network across the country, making it a clear category leader in Argentine private banking [1][2]. Product Pipeline (0/2): Management targets 10-15% loan growth and low-double-digit ROE for 2026, but no next-generation digital products or category-defining innovations are announced with specific timelines [1]. R&amp;D Intensity (0/1): No separately reported R&amp;D spending; technology investment is embedded within operating expenses.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Grupo Financiero Galicia's corporate messaging emphasizes financial inclusion, responsible banking, and serving Argentine communities — clear and relevant but not distinctive, and could describe any large Latin American bank [3]. The 120+ year history of Banco Galicia anchoring Argentine communities through multiple financial crises adds some depth, but no transformative purpose statement beyond banking services was identified. Community Impact (0/2): The company maintains an ESG Sustainability Subcommittee and publishes integrated sustainability reports (Refinitiv ESG score A-), but no specific charitable programs with dollar amounts or distinctive community investment initiatives were identified beyond general corporate governance frameworks [3]. Employee Retention (0/2): No specific employee retention data, tenure figures, or cultural metrics were found. The recent CEO transition at Banco Galicia (Diego Rivas appointed October 2025) was orderly but adds leadership uncertainty during HSBC integration [2]. Insider Buying (0/2): No evidence of insider buying by executives in the last 12 months on the ADR listing. The Escasany family's long-term controlling position suggests alignment but does not constitute recent open-market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estimated metrics; most yfinance data unavailable for this Argentine bank ADR due to hyperinflation accounting distortions [4]. The stock at $38.74 (down 28% from $54 in August) implies significant PE compression from the prior 41.55x — estimated trailing PE of 15-20x based on Q2 2026's strong net income recovery (ARS 258.3B, +34% YoY) and improving TTM earnings trajectory [1]. ROE was 2.49% trailing as of Q1 2026 but is improving toward management's low-double-digit FY2026 target as HSBC integration costs abate and cost of risk declines from 12.5% to target 8% [1]. Profit margin (net income/revenue) was approximately 3% and should improve with the Q2 earnings recovery. Revenue figures in ARS are heavily distorted by IAS 29 hyperinflation accounting and not meaningful for scoring purposes. Loan growth guidance was lowered to 10-15% from 25%, reflecting a more cautious macro outlook. The stock clears the liquidity floor with daily dollar volume of approximately $33.3M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Grupo Financiero Galicia benefits from a 120+ year institutional history that anchors its infinite game credentials — Banco Galicia has endured multiple Argentine financial crises (2001 sovereign default, 2018 currency crisis, COVID, and the current hyperinflation), demonstrating remarkable survival resilience [2]. The courageous HSBC Argentina acquisition during extreme macroeconomic volatility shows willingness to invest through adversity. However, the company lacks an articulated Just Cause beyond generic financial services, and operates in an environment where quarterly survival often competes with long-term vision. Q2 2026's recovery (+34% net income YoY) validates the long-term bet, but the lowered loan growth guidance (10-15% vs 25%) signals pragmatic caution.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Grupo Galicia's 120+ year history of serving Argentine communities represents institutional persistence, but no distinctive Just Cause is articulated — the corporate messaging about financial services and community banking is interchangeable with any large regional bank [3]. Leadership does not reference a higher purpose in strategic decisions; the HSBC acquisition was presented as a scale and market share opportunity, not a cause-driven initiative. The Escasany family's multi-generational commitment provides continuity but does not substitute for a purpose that transcends the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Banco Galicia is a well-established Argentine institution with a professional culture and long-tenured employee base, as demonstrated by its consistent operation through multiple national crises including the current hyperinflationary environment [2][3]. The CEO transition at Banco Galicia (Diego Rivas appointed October 2025) was an orderly succession approved by the Argentine Central Bank, suggesting organizational maturity. However, the HSBC Argentina integration creates cultural integration challenges across two large banking workforces, and no specific employee satisfaction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Grupo Galicia's competitive positioning focuses on market share gains through the HSBC acquisition and defending its position against fintech disruptors like Mercado Pago — a defensive, finite-game approach to competition rather than a learning orientation [1]. Management's competitive language in earnings calls emphasizes scale and market positioning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Grupo Galicia has evolved from a single-bank holding company to a diversified financial group including insurance (Galicia Seguros), asset management, digital banking, and now the HSBC Argentina integration that doubled its scale [2]. The company has adapted through multiple Argentine economic regime changes, currency devaluations, and banking crises over 120+ years. However, the core business model of traditional Argentine banking has not fundamentally changed — the adaptations have been incremental responses to environmental pressures rather than purpose-driven reinventions.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HSBC Argentina acquisition during a period of 200%+ annual inflation, currency instability, and political uncertainty is a textbook example of courageous long-term investment — management bet on Argentina's reform trajectory under President Milei, doubling the bank's size when most international banks (including HSBC itself) were exiting [1][2]. Q1 2026 net income dropped 66% due to integration costs and NPL normalization, but management held the course, and Q2 2026's recovery (ARS 258.3B, +34% YoY) validates the bet. The company has repeatedly invested through Argentine crises rather than retreating — a pattern of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Grupo Financiero Galicia is a leveraged bet on Argentina's macroeconomic reform trajectory under President Milei, with the transformative HSBC Argentina acquisition creating one of the country's top three private-sector banking franchises [1][2]. Q2 2026 net income of ARS 258.3B (+34% YoY) demonstrates the recovery from Q1's -66% decline, with cost of risk declining from 12.5% toward management's 8% target and ROE expected to reach low-double-digits by year-end [1]. The ADR at $38.74 (down 28% from August highs) offers a more attractive entry point, with the post-HSBC scale providing significant operating leverage as Argentina's banking sector normalizes. The ESG score of A- reflects strong governance standards relative to emerging-market peers [3].</w:t>
      </w:r>
    </w:p>
    <w:p>
      <w:pPr>
        <w:spacing w:after="120"/>
      </w:pPr>
      <w:r>
        <w:rPr>
          <w:rFonts w:ascii="Calibri" w:hAnsi="Calibri"/>
          <w:b w:val="0"/>
          <w:color w:val="3A4A28"/>
          <w:sz w:val="20"/>
        </w:rPr>
        <w:t>The bear case is dominated by Argentine country risk: hyperinflation (though declining), peso volatility, and an uncertain reform timeline create massive currency translation risk for ADR holders [1]. Management lowered loan growth guidance from 25% to 10-15%, signaling a more cautious macro outlook than previously expected. ROE remains well below the 15% target (low-double-digits expected for FY2026), and the HSBC Argentina loan book integration may contain residual credit quality issues with NPLs still elevated. At $38.74, the stock has corrected significantly but still prices in substantial macro improvement — any setback in Argentina's reform agenda, capital controls re-imposition, or sovereign credit deterioration could trigger further decline. Fintech competition from Mercado Pago and digital wallets continues eroding traditional banking revenue pools among younger Argentine demographics. The Inspire Impact Score of 0 (MIXED) is neutral for faith-based investors, and the limited Inspire coverage of Argentine companies means positive/negative attributions are unavailable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Argentina's inflation continuing to decline toward double-digit levels, enabling real credit growth and ROE normalization toward management's low-double-digit target as HSBC integration synergies and cost-of-risk improvements (12.5% to 8%) materialize [1]</w:t>
      </w:r>
    </w:p>
    <w:p>
      <w:pPr>
        <w:spacing w:before="40" w:after="40"/>
        <w:ind w:left="283"/>
      </w:pPr>
      <w:r>
        <w:rPr>
          <w:rFonts w:ascii="Calibri" w:hAnsi="Calibri"/>
          <w:b/>
          <w:color w:val="4A6B25"/>
          <w:sz w:val="20"/>
        </w:rPr>
        <w:t xml:space="preserve">2. </w:t>
      </w:r>
      <w:r>
        <w:rPr>
          <w:rFonts w:ascii="Calibri" w:hAnsi="Calibri"/>
          <w:b w:val="0"/>
          <w:color w:val="3A4A28"/>
          <w:sz w:val="20"/>
        </w:rPr>
        <w:t>Q2 2026 net income recovery (+34% YoY to ARS 258.3B) extending through H2 2026 as HSBC integration costs abate and the doubled branch network generates revenue synergies — a sustained ROE above 10% would re-rate the ADR [1]</w:t>
      </w:r>
    </w:p>
    <w:p>
      <w:pPr>
        <w:spacing w:before="40" w:after="40"/>
        <w:ind w:left="283"/>
      </w:pPr>
      <w:r>
        <w:rPr>
          <w:rFonts w:ascii="Calibri" w:hAnsi="Calibri"/>
          <w:b/>
          <w:color w:val="4A6B25"/>
          <w:sz w:val="20"/>
        </w:rPr>
        <w:t xml:space="preserve">3. </w:t>
      </w:r>
      <w:r>
        <w:rPr>
          <w:rFonts w:ascii="Calibri" w:hAnsi="Calibri"/>
          <w:b w:val="0"/>
          <w:color w:val="3A4A28"/>
          <w:sz w:val="20"/>
        </w:rPr>
        <w:t>Potential Argentine sovereign credit upgrade following successful IMF program completion and continued Milei reforms, which would compress GGAL's country risk premium and expand the ADR's valuation multiple from current depressed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Argentine macroeconomic deterioration — any reversal of the Milei reform agenda, capital control re-imposition, or peso crisis would devastate GGAL's ADR valuation through both earnings compression and currency translation losses</w:t>
      </w:r>
    </w:p>
    <w:p>
      <w:pPr>
        <w:spacing w:before="40" w:after="40"/>
        <w:ind w:left="283"/>
      </w:pPr>
      <w:r>
        <w:rPr>
          <w:rFonts w:ascii="Calibri" w:hAnsi="Calibri"/>
          <w:b/>
          <w:color w:val="4A6B25"/>
          <w:sz w:val="20"/>
        </w:rPr>
        <w:t xml:space="preserve">2. </w:t>
      </w:r>
      <w:r>
        <w:rPr>
          <w:rFonts w:ascii="Calibri" w:hAnsi="Calibri"/>
          <w:b w:val="0"/>
          <w:color w:val="3A4A28"/>
          <w:sz w:val="20"/>
        </w:rPr>
        <w:t>Lowered loan growth guidance (10-15% vs prior 25%) signals management sees deteriorating credit conditions — the HSBC Argentina loan book may contain additional embedded credit losses requiring further provisioning beyond the current 7.7% NPL ratio [1]</w:t>
      </w:r>
    </w:p>
    <w:p>
      <w:pPr>
        <w:spacing w:before="40" w:after="40"/>
        <w:ind w:left="283"/>
      </w:pPr>
      <w:r>
        <w:rPr>
          <w:rFonts w:ascii="Calibri" w:hAnsi="Calibri"/>
          <w:b/>
          <w:color w:val="4A6B25"/>
          <w:sz w:val="20"/>
        </w:rPr>
        <w:t xml:space="preserve">3. </w:t>
      </w:r>
      <w:r>
        <w:rPr>
          <w:rFonts w:ascii="Calibri" w:hAnsi="Calibri"/>
          <w:b w:val="0"/>
          <w:color w:val="3A4A28"/>
          <w:sz w:val="20"/>
        </w:rPr>
        <w:t>Fintech disruption from Mercado Pago, Uala, and digital wallets capturing deposit and payment market share from traditional banks, particularly among younger Argentine demographics who bypass branch-based banking entirely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Argentine banking is a regulated, physical-world business with significant structural protection from AI disruption — central bank regulations, capital controls, KYC/AML requirements, and the complex hyperinflationary operating environment create barriers that AI cannot easily navigate [1]. Banco Galicia's extensive branch network serves customers who require in-person banking for peso/dollar transactions and regulatory compliance. However, Argentine fintech competitors — particularly Mercado Libre's Mercado Pago, Uala, and digital wallets — are aggressively capturing deposit and payment share from traditional banks, especially among younger demographics [2]. This fintech competition represents a meaningful AI-adjacent disruption vector that prevents a higher score. AI Opportunity (0/1): No evidence of AI-generated revenue; Grupo Galicia has not deployed AI-powered products or reported AI-driven cost savings in any public filing or earnings commentary.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Grupo Financiero Galicia Q2 2026 Earnings — Net Income ARS 258.3B (+34% YoY), Loan Growth Guidance 10-15%, ROE Target Low-Double-Digits, Cost of Risk Declining to 8% — Investing.com Earnings Transcript,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Grupo Financiero Galicia Leadership and HSBC Acquisition — CEO Fabian Kon, Chairman Eduardo Escasany, Banco Galicia CEO Diego Rivas Appointed October 2025 — TipRanks, Globe and Mail, 2025-2026</w:t>
      </w:r>
    </w:p>
    <w:p>
      <w:pPr>
        <w:spacing w:before="20" w:after="20"/>
        <w:ind w:left="170"/>
      </w:pPr>
      <w:r>
        <w:rPr>
          <w:rFonts w:ascii="Calibri" w:hAnsi="Calibri"/>
          <w:b/>
          <w:color w:val="4A6B25"/>
          <w:sz w:val="15"/>
        </w:rPr>
        <w:t xml:space="preserve">3. </w:t>
      </w:r>
      <w:r>
        <w:rPr>
          <w:rFonts w:ascii="Calibri" w:hAnsi="Calibri"/>
          <w:b w:val="0"/>
          <w:color w:val="3A4A28"/>
          <w:sz w:val="17"/>
        </w:rPr>
        <w:t>Grupo Financiero Galicia ESG and Corporate Governance — Refinitiv ESG Score A- (75.39), Sustainability Subcommittee, Integrated Report 2025 — GFG Corporate Website, Sustainalytics</w:t>
      </w:r>
    </w:p>
    <w:p>
      <w:pPr>
        <w:spacing w:before="20" w:after="20"/>
        <w:ind w:left="170"/>
      </w:pPr>
      <w:r>
        <w:rPr>
          <w:rFonts w:ascii="Calibri" w:hAnsi="Calibri"/>
          <w:b/>
          <w:color w:val="4A6B25"/>
          <w:sz w:val="15"/>
        </w:rPr>
        <w:t xml:space="preserve">4. </w:t>
      </w:r>
      <w:r>
        <w:rPr>
          <w:rFonts w:ascii="Calibri" w:hAnsi="Calibri"/>
          <w:b w:val="0"/>
          <w:color w:val="3A4A28"/>
          <w:sz w:val="17"/>
        </w:rPr>
        <w:t>Yahoo Finance — GGAL Key Statistics: Stock Price $38.74, Market Cap $6.56B, Avg Volume 860K,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