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GGB</w:t>
      </w:r>
      <w:r>
        <w:rPr>
          <w:rFonts w:ascii="Calibri" w:hAnsi="Calibri"/>
          <w:b/>
          <w:color w:val="1A2010"/>
          <w:sz w:val="40"/>
        </w:rPr>
        <w:t xml:space="preserve">  Gerdau S.A.</w:t>
      </w:r>
    </w:p>
    <w:p>
      <w:pPr>
        <w:spacing w:after="120"/>
      </w:pPr>
      <w:r>
        <w:rPr>
          <w:rFonts w:ascii="Calibri" w:hAnsi="Calibri"/>
          <w:b/>
          <w:color w:val="6E8450"/>
          <w:sz w:val="18"/>
        </w:rPr>
        <w:t>DIVIDEND SLEEVE · 2026-10-04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Steel · NYQ · Brazil</w:t>
      </w:r>
    </w:p>
    <w:p>
      <w:pPr>
        <w:spacing w:after="80"/>
      </w:pPr>
      <w:r>
        <w:rPr>
          <w:rFonts w:ascii="Calibri" w:hAnsi="Calibri"/>
          <w:b w:val="0"/>
          <w:color w:val="3A4A28"/>
          <w:sz w:val="20"/>
        </w:rPr>
        <w:t>Gerdau S.A. is the largest long steel producer in the Americas and the world's largest recycler of scrap steel, founded in 1901 in Porto Alegre, Brazil. The company operates across Brazil, North America, and South America segments, producing rebars, bars, wires, plates, and structural shapes primarily via electric arc furnaces (71% scrap-based). Q2 2026 adjusted EBITDA reached BRL 3.4B — strongest since Q3 2023 — with net income of BRL 1.5B (+45% QoQ). TTM revenue of BRL 69.5B (~$12.7B USD), market cap $9.8B.</w:t>
      </w:r>
    </w:p>
    <w:p>
      <w:r>
        <w:rPr>
          <w:rFonts w:ascii="Calibri" w:hAnsi="Calibri"/>
          <w:b/>
          <w:color w:val="6E8450"/>
          <w:sz w:val="18"/>
        </w:rPr>
        <w:t>30,000 Employees · https://www2.gerdau.com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Gerdau has made incremental advances in recycled steel and sustainability-focused production, and launched Gerdau Next as a venture/innovation arm to explore adjacent markets including solar parks and renewable energy [2]. However, these represent evolutionary extensions of the core steel business rather than transformative pivots or new revenue streams. AI Deployment (2/2): Gerdau has deployed AI with quantified results — reducing alloy costs by $3 per ton, saving millions of pounds of ferroalloys annually, reducing quality variation by 15%, and simultaneously cutting CO2 emissions [2]. The appointment of Rodrigo Silveira as Chief Data and AI Officer signals institutional commitment to scaling these gains across operations. Market Share (1/2): Gerdau is the largest steelmaker in the Americas with dominant positions in long steel across Brazil and North America — Q2 2026 North American shipments grew 7% YoY with EBITDA up 15% sequentially [1]. However, global steel is dominated by Chinese producers and ArcelorMittal. Product Pipeline (0/2): As a commodity steel producer, no next-gen products with specific launch dates have been announced. R&amp;D Intensity (0/1): Steel companies have minimal R&amp;D spending relative to revenue; Gerdau's innovation investment is embedded in process improvements rather than traditional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Gerdau's purpose centers on sustainable steelmaking and empowering communities through industrialization, guided by 125 years of family stewardship under CEO Gustavo Werneck — the first non-family CEO in company history [2]. The emphasis on being the world's most sustainable steelmaker is clear and connects to environmental purpose, but does not articulate a transformative vision beyond operational excellence in steel. Community Impact (2/2): Gerdau invested BRL 49.1M in social initiatives in 2025, benefiting 2.3 million people and engaging 7,400 volunteers [3]. The company pursued B Corp certification for Siderperu and Gerdau Summit operations, and included ESG targets in 20% of executive long-term compensation since 2021 — substantive commitment beyond corporate philanthropy. Employee Retention (1/2): Glassdoor rating of 4.1/5.0 with 87% CEO approval and 79% employee recommendation rate — 29% above typical manufacturing companies [2]. Gerdau's cultural transformation under Werneck removed office hierarchy and created open workspaces, but no specific tenure or turnover data distinguishes retention from industry norms. Insider Buying (0/2): No evidence of meaningful net insider buying by executives in the last 12 months; ADR insider transaction data is limited.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Balance sheet is exceptionally strong: D/E of 28.2% well below the 70% target (score 1.0), and Forward P/E of 8.7x reflects deep value versus the 20x target (score 1.0) [1]. Revenue growth of 2% YoY is modest (score 0.73), and 5-year revenue CAGR of approximately 8% reflects post-COVID recovery in steel demand (score 0.87). However, profitability is severely depressed: profit margin of 3.2% is far below the 20% target (score 0.16), and ROE of 4.2% significantly underperforms the 15% target (score 0.28), reflecting cyclical trough conditions in steel [1]. Dividend metrics are mixed: payout ratio of 58.4% is elevated (score 0.69), and while Gerdau has paid dividends consecutively for 20+ years (score 1.0, 2x weight), dividends have collapsed from $0.56/share in 2022 to approximately $0.08 in 2025 — yielding 0 consecutive years of growth and a deeply negative 5-year CAGR (both scoring 0, with CAGR at 2x weight). Liquidity is ample at $64.4M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Gerdau demonstrates institutional endurance as a 125-year-old enterprise that successfully transitioned from family to professional management and invested in sustainable production methods. However, the competitive strategy remains focused on scale, cost leadership, and geographic expansion — finite-game objectives. The sustainability commitment is genuine but driven by business logic (recycled steel via EAF is cheaper) rather than a transformative just cause. CEO Werneck's cultural changes are encouraging but the company's competitive discourse focuses on market share dominance rather than self-improvement [2].</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Gerdau's 125-year history demonstrates institutional endurance, and the sustainability focus as the world's largest recycled steel producer connects the business to environmental purpose. CEO Werneck's Gerdau Next initiative signals forward-looking ambition [2]. However, 'sustainable steelmaking' is a business optimization rather than a Sinek-style vision of a future so appealing people sacrifice to advance it. The purpose is genuine but does not transcend steelmaking or clearly shape strategic decisions beyond what makes economic sense.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Gerdau's cultural transformation under Werneck is notable — the company surveyed all 5,000 leaders, eliminated office hierarchy, created open workspaces where the CEO sits with teams, and focused on empowering diverse talent [2]. Glassdoor 4.1/5.0 and 87% CEO approval support adequate organizational trust. However, AI deployment case studies noted 'cultural resistance' from plant managers initially hesitant to trust AI recommendations, suggesting trust-building remains in progress at the operational level.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Gerdau's competitive narrative focuses on being the 'largest steelmaker in the Americas' and gaining market share through North American expansion — finite-game language about scale and position rather than learning from worthy rivals [1]. No management commentary was found referencing competitors'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Gerdau has evolved from a traditional family-owned Brazilian steelmaker to a professionally managed, sustainability-focused multinational with a venture arm (Gerdau Next) exploring adjacent markets including renewable energy [2][3]. The appointment of the first non-family CEO in 125 years was a significant governance evolution. However, the core business remains fundamentally unchanged — producing steel from recycled scrap — and the evolution is incremental adaptation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appoint the first non-family CEO in 125 years was courageous for a family-controlled company, prioritizing professional management over dynastic succession [2]. Werneck's cultural transformation — removing hierarchy, conducting company-wide surveys, empowering diverse talent — required challenging entrenched norms in traditional heavy industry. The inclusion of ESG targets in 20% of executive compensation demonstrates willingness to tie pay to long-term sustainability [3]. However, these are single examples rather than a pattern of costly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GGB at $5.01 with 8.7x forward earnings represents a deeply discounted play on North American infrastructure and steel cycle recovery. Q2 2026 delivered the strongest consolidated EBITDA since Q3 2023 at BRL 3.4B, with North American shipments up 7% YoY and EBITDA surging 15% sequentially, while net income rose 45% QoQ to BRL 1.5B [1]. The balance sheet is fortress-grade (D/E 28.2%) with ample liquidity, and first-half 2026 free cash flow exceeded H1 2025 by BRL 2.3B. As the Americas' largest long steel producer with 71% EAF/scrap-based production, Gerdau benefits from structural cost and environmental advantages, and AI-driven process optimization is delivering quantified savings of $3/ton in alloy costs [2]. The dividend yield of 3.6% provides income while investors wait for cyclical margin recovery.</w:t>
      </w:r>
    </w:p>
    <w:p>
      <w:pPr>
        <w:spacing w:after="120"/>
      </w:pPr>
      <w:r>
        <w:rPr>
          <w:rFonts w:ascii="Calibri" w:hAnsi="Calibri"/>
          <w:b w:val="0"/>
          <w:color w:val="3A4A28"/>
          <w:sz w:val="20"/>
        </w:rPr>
        <w:t>The bear case centers on cyclical margin compression and dividend deterioration. Profit margin of 3.2% and ROE of 4.2% reflect trough conditions — trailing P/E of 22.8x versus forward 8.7x signals that consensus expects significant earnings improvement that may not materialize if steel demand weakens [1]. Dividends have collapsed from $0.56/share in 2022 to approximately $0.08 in 2025, an 85%+ decline that undermines the income thesis despite the headline yield. Revenue growth of just 2% YoY on a TTM basis demonstrates the mature, cyclical nature of the business. As a Brazilian ADR, investors bear BRL/USD currency risk — continued Real depreciation erodes USD-denominated returns even if BRL results improve. Chinese steel overcapacity and aggressive export dumping remain structural overhangs for global steel pricing, and potential U.S. tariff policy shifts could disrupt the North American margin advantage that drives 74% of EBITDA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North American infrastructure spending acceleration — 74% of EBITDA from North America, with the Infrastructure Investment and Jobs Act plus data center construction creating multi-year demand tailwind for long steel products, Q2 2026 shipments already up 7% YoY [1]</w:t>
      </w:r>
    </w:p>
    <w:p>
      <w:pPr>
        <w:spacing w:before="40" w:after="40"/>
        <w:ind w:left="283"/>
      </w:pPr>
      <w:r>
        <w:rPr>
          <w:rFonts w:ascii="Calibri" w:hAnsi="Calibri"/>
          <w:b/>
          <w:color w:val="4A6B25"/>
          <w:sz w:val="20"/>
        </w:rPr>
        <w:t xml:space="preserve">2. </w:t>
      </w:r>
      <w:r>
        <w:rPr>
          <w:rFonts w:ascii="Calibri" w:hAnsi="Calibri"/>
          <w:b w:val="0"/>
          <w:color w:val="3A4A28"/>
          <w:sz w:val="20"/>
        </w:rPr>
        <w:t>Cyclical earnings recovery with forward P/E of 8.7x versus trailing 22.8x — Q2 2026 EBITDA at strongest since Q3 2023 and first-half FCF up BRL 2.3B YoY suggest inflection point in the steel cycle [1]</w:t>
      </w:r>
    </w:p>
    <w:p>
      <w:pPr>
        <w:spacing w:before="40" w:after="40"/>
        <w:ind w:left="283"/>
      </w:pPr>
      <w:r>
        <w:rPr>
          <w:rFonts w:ascii="Calibri" w:hAnsi="Calibri"/>
          <w:b/>
          <w:color w:val="4A6B25"/>
          <w:sz w:val="20"/>
        </w:rPr>
        <w:t xml:space="preserve">3. </w:t>
      </w:r>
      <w:r>
        <w:rPr>
          <w:rFonts w:ascii="Calibri" w:hAnsi="Calibri"/>
          <w:b w:val="0"/>
          <w:color w:val="3A4A28"/>
          <w:sz w:val="20"/>
        </w:rPr>
        <w:t>AI-driven cost optimization scaling across operations — $3/ton alloy cost reduction and 15% quality variation improvement delivering measurable margin expansion as Chief Data &amp; AI Officer scales deployment to additional plants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Steel cyclicality with 3.2% profit margin — commodity price swings can compress margins to breakeven within 2-3 quarters, and dividends have already collapsed 85%+ from 2022 peak with no guarantee earnings recovery will restore them [1]</w:t>
      </w:r>
    </w:p>
    <w:p>
      <w:pPr>
        <w:spacing w:before="40" w:after="40"/>
        <w:ind w:left="283"/>
      </w:pPr>
      <w:r>
        <w:rPr>
          <w:rFonts w:ascii="Calibri" w:hAnsi="Calibri"/>
          <w:b/>
          <w:color w:val="4A6B25"/>
          <w:sz w:val="20"/>
        </w:rPr>
        <w:t xml:space="preserve">2. </w:t>
      </w:r>
      <w:r>
        <w:rPr>
          <w:rFonts w:ascii="Calibri" w:hAnsi="Calibri"/>
          <w:b w:val="0"/>
          <w:color w:val="3A4A28"/>
          <w:sz w:val="20"/>
        </w:rPr>
        <w:t>BRL/USD currency exposure — majority of revenue in BRL while the ADR trades in USD; continued Brazilian Real depreciation directly erodes USD-denominated returns and Gerdau cannot control Brazil's volatile economic and political environment</w:t>
      </w:r>
    </w:p>
    <w:p>
      <w:pPr>
        <w:spacing w:before="40" w:after="40"/>
        <w:ind w:left="283"/>
      </w:pPr>
      <w:r>
        <w:rPr>
          <w:rFonts w:ascii="Calibri" w:hAnsi="Calibri"/>
          <w:b/>
          <w:color w:val="4A6B25"/>
          <w:sz w:val="20"/>
        </w:rPr>
        <w:t xml:space="preserve">3. </w:t>
      </w:r>
      <w:r>
        <w:rPr>
          <w:rFonts w:ascii="Calibri" w:hAnsi="Calibri"/>
          <w:b w:val="0"/>
          <w:color w:val="3A4A28"/>
          <w:sz w:val="20"/>
        </w:rPr>
        <w:t>Chinese steel overcapacity and trade tensions — China produces over 50% of global steel and has been aggressively exporting excess capacity, pressuring global steel prices and threatening margins for Americas-based producers including Gerdau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Steel manufacturing is structurally immune to AI disruption — AI cannot substitute for physical steel production using electric arc furnaces, scrap metal processing, and industrial logistics [1]. Gerdau's business involves physical-world operations (melting, casting, rolling) requiring massive capital infrastructure that cannot be replicated by software. AI actually increases demand for steel through data center construction, infrastructure investment, and industrial automation buildouts. No analyst has identified AI as a disruption risk for steelmakers; relevant risks are trade policy, demand cycles, and raw materials. AI Opportunity (0/1): Gerdau deploys AI internally for cost optimization — $3/ton alloy cost reduction, 15% quality variation improvement — but these are operational efficiencies, not AI revenue products [2]. The company does not generate quantifiable revenue from AI-related products or services sold to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Gerdau Q2 2026 Earnings — BRL 3.4B Adjusted EBITDA (strongest since Q3 2023), North America shipments +7% YoY, net income BRL 1.5B (+45% QoQ), H1 FCF +BRL 2.3B YoY — SEC 6-K Filing, Investing.com, July-August 2026</w:t>
      </w:r>
    </w:p>
    <w:p>
      <w:pPr>
        <w:spacing w:before="20" w:after="20"/>
        <w:ind w:left="170"/>
      </w:pPr>
      <w:r>
        <w:rPr>
          <w:rFonts w:ascii="Calibri" w:hAnsi="Calibri"/>
          <w:b/>
          <w:color w:val="4A6B25"/>
          <w:sz w:val="15"/>
        </w:rPr>
        <w:t xml:space="preserve">2. </w:t>
      </w:r>
      <w:r>
        <w:rPr>
          <w:rFonts w:ascii="Calibri" w:hAnsi="Calibri"/>
          <w:b w:val="0"/>
          <w:color w:val="3A4A28"/>
          <w:sz w:val="17"/>
        </w:rPr>
        <w:t>Gerdau Leadership, AI &amp; Culture — CEO Gustavo Werneck (since 2018, first non-family CEO), CDAIO Rodrigo Silveira, AI cost savings $3/ton, Glassdoor 4.1/5.0, 87% CEO approval — CDO Magazine, Glassdoor, BuiltWorlds, 2025-2026</w:t>
      </w:r>
    </w:p>
    <w:p>
      <w:pPr>
        <w:spacing w:before="20" w:after="20"/>
        <w:ind w:left="170"/>
      </w:pPr>
      <w:r>
        <w:rPr>
          <w:rFonts w:ascii="Calibri" w:hAnsi="Calibri"/>
          <w:b/>
          <w:color w:val="4A6B25"/>
          <w:sz w:val="15"/>
        </w:rPr>
        <w:t xml:space="preserve">3. </w:t>
      </w:r>
      <w:r>
        <w:rPr>
          <w:rFonts w:ascii="Calibri" w:hAnsi="Calibri"/>
          <w:b w:val="0"/>
          <w:color w:val="3A4A28"/>
          <w:sz w:val="17"/>
        </w:rPr>
        <w:t>Gerdau ESG and Sustainability — 71% scrap-based EAF production, BRL 49.1M social investment benefiting 2.3M people, B Corp certification pursuit, ESG in 20% executive comp — Gerdau 2025 Annual Report, SEC 20-F</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