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GIL</w:t>
      </w:r>
      <w:r>
        <w:rPr>
          <w:rFonts w:ascii="Calibri" w:hAnsi="Calibri"/>
          <w:b/>
          <w:color w:val="1A2010"/>
          <w:sz w:val="40"/>
        </w:rPr>
        <w:t xml:space="preserve">  Gildan Activewear Inc.</w:t>
      </w:r>
    </w:p>
    <w:p>
      <w:pPr>
        <w:spacing w:after="120"/>
      </w:pPr>
      <w:r>
        <w:rPr>
          <w:rFonts w:ascii="Calibri" w:hAnsi="Calibri"/>
          <w:b/>
          <w:color w:val="6E8450"/>
          <w:sz w:val="18"/>
        </w:rPr>
        <w:t>DIVIDEND SLEEVE · 2026-09-24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Manufacturing · NYSE · Canada</w:t>
      </w:r>
    </w:p>
    <w:p>
      <w:pPr>
        <w:spacing w:after="80"/>
      </w:pPr>
      <w:r>
        <w:rPr>
          <w:rFonts w:ascii="Calibri" w:hAnsi="Calibri"/>
          <w:b w:val="0"/>
          <w:color w:val="3A4A28"/>
          <w:sz w:val="20"/>
        </w:rPr>
        <w:t>Gildan Activewear Inc. is one of the world's largest vertically integrated manufacturers of everyday basic apparel, operating from yarn production through finished garments. Following its transformative acquisition of HanesBrands in late 2025, the combined entity controls leading brands including Gildan, Hanes, Champion, Comfort Colors, Bali, Playtex, and Bonds across printwear, underwear, hosiery, intimates, and activewear categories. Q2 2026 revenue of $1.58B (+72.3% YoY) reflects the combined platform, with full-year 2026 guidance of $6.0-6.2B and adjusted EPS of $4.65-$4.75 (+32-35% YoY). Manufacturing operations span company-owned facilities in Honduras, Nicaragua, Dominican Republic, Bangladesh, and Australia. Headquartered in Montreal, Canada.</w:t>
      </w:r>
    </w:p>
    <w:p>
      <w:r>
        <w:rPr>
          <w:rFonts w:ascii="Calibri" w:hAnsi="Calibri"/>
          <w:b/>
          <w:color w:val="6E8450"/>
          <w:sz w:val="18"/>
        </w:rPr>
        <w:t>75,000 Employees · https://gildancorp.com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Gildan completed its transformative acquisition of HanesBrands in late 2025, approximately doubling revenue to a guided $6.0-6.2B for FY2026 and creating one of the world's largest basic apparel companies [1]. Co-founder Glenn Chamandy's return via proxy fight in 2024 and immediate pursuit of this industry-consolidating deal represents a major strategic transformation, though the core business model — apparel manufacturing and distribution — remains fundamentally the same. AI Deployment (0/2): No AI-powered products or quantified AI-driven efficiencies reported. Gildan acknowledges AI as both an opportunity and a risk in its annual filings, noting that failure to keep pace with AI advancements could impact competitive advantage [3]. Market Share (2/2): The combined Gildan-HanesBrands entity controls #1 or #2 positions in multiple basic apparel categories: Hanes leads U.S. underwear, Gildan dominates North American printwear, Champion holds significant activewear share, and the combined company commands leading positions across hosiery and intimates [1][2]. Pipeline (0/2): No specific next-generation products with launch timelines and revenue visibility identified beyond manufacturing process innovations. R&amp;D Intensity (0/1): As a vertically integrated apparel manufacturer, R&amp;D spending focuses on manufacturing process optimization rather than product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Gildan's corporate purpose centers on 'Making Apparel Better' through responsible, vertically integrated manufacturing from raw materials to finished goods [3]. The vision identifies a meaningful operational philosophy connecting manufacturing scale to environmental responsibility, but does not articulate a transformative societal purpose. Community Impact (2/2): Gildan has published ESG reports for 21 consecutive years with specific measurable achievements: reducing water intensity by 25.2% per kilogram produced versus 2018 baseline, increasing sustainable cotton sourcing from 35.7% to 77.3%, and earning 12 consecutive years on the Dow Jones Best-in-Class North America Index [3]. The company is a Fair Labor Association accredited member, though historical labor controversies in Honduras (worker rights violations, inadequate wages) and recent El Salvador wage-withholding allegations have tarnished the record [4]. Employee Retention (1/2): CEO Glenn Chamandy's ~20-year tenure as co-founder provides exceptional leadership continuity. Glassdoor management rating of 4.5/5 and culture/values rating of 3.9 suggest above-average employee sentiment across the 75,000-person workforce [3]. Insider Buying (0/2): No evidence of meaningful net insider purchases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The HanesBrands acquisition significantly distorts trailing financial metrics — GAAP profit margin of 1.28% reflects acquisition integration charges and step-up amortization, while adjusted operating margin is guided at approximately 21.8% [1][2]. D/E of 147.6% reflects acquisition financing, scoring 0.66 [5]. ROE of 8.68% is temporarily depressed by acquisition goodwill diluting the equity base, scoring 0.58 [5]. Revenue growth YoY of 72.3% (acquisition-driven) caps at 1.0 [1]. 5-year revenue CAGR of approximately 15% (from ~$3.0B to $6.0B guided) scores 1.0 [2]. Forward P/E of 8.45 is well below the 20 target, scoring 1.0 [5]. GAAP profit margin of 1.28% scores 0.06 [5]. Dividend metrics: payout ratio 73.6% (0.44), 15 consecutive years paid (1.0, 2x), consecutive growth years ~1 (0.10), 5-year dividend growth CAGR ~10% (1.0, 2x). Weighted sum 7.84/12 = 7. Liquidity adequate with ~1.3M shares/day at $46 ($59M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Gildan demonstrates mixed infinite game characteristics. Co-founder Chamandy's return via proxy fight and immediate pursuit of the transformative HanesBrands acquisition show exceptional courage and conviction, but the company's purpose remains anchored in operational excellence rather than a transformative Just Cause. The 21-year track record of ESG reporting and vertical integration model suggest long-term thinking, but competitive language emphasizing market consolidation and shareholder returns reflects finite framing. Historical labor controversies in Central American factories create tension with the sustainability narrative.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Gildan's purpose of 'Making Apparel Better' through responsible, vertically integrated manufacturing is genuine but reads as an operational philosophy rather than a Just Cause in Sinek's terms [3]. It describes how the company works, not a vision of a future worth sacrificing for. The 21 years of ESG reporting and DJSI inclusion demonstrate consistency, but strategic decisions (HanesBrands acquisition, proxy fight) were driven by competitive positioning and shareholder value rather than cause advancement [1]. The historical labor controversies in Honduras and El Salvador further undermine the alignment between stated values and operational practice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Chamandy's ~20-year tenure and co-founder status create leadership continuity, and Glassdoor management ratings of 4.5/5 suggest above-average employee sentiment [3]. However, the 2023 board decision to oust Chamandy (later reversed via proxy fight) and subsequent executive leadership changes including CFO transition reveal governance instability that disrupted trust at the board level. With 75,000 employees across manufacturing facilities in developing nations, maintaining consistent trust culture is a structural challenge, and historical labor controversies at Central American factories suggest uneven treatment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Gildan's competitive narrative focuses on market share dominance and low-cost manufacturing advantages. The HanesBrands acquisition was framed as consolidating market leadership and capturing cost synergies rather than learning from a rival's strengths [1]. No evidence of management commentary referencing competitors like Fruit of the Loom or private-label manufacturers as worthy rivals whose capabilities inspire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HanesBrands acquisition marks significant strategic evolution — Gildan expanded from a printwear-focused wholesale manufacturer into a diversified consumer brands company controlling Hanes, Champion, Bali, Bonds, and household names across underwear, intimates, and activewear [1]. This represents meaningful business model expansion into branded retail channels and direct-to-consumer distribution. However, the core capability remains the same (textile manufacturing and distribution), and the move was additive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Glenn Chamandy's return to CEO via a contested proxy fight in 2024 — fighting his own board and winning shareholder support — demonstrated exceptional personal courage and conviction in his vision for Gildan [3]. He then immediately pursued the transformative HanesBrands acquisition, taking on significant leverage (D/E rising to 148%) to fundamentally reshape the company during industry uncertainty [1]. The pattern of costly, risky bets — fighting institutional resistance at personal reputational risk, then executing the largest basic apparel M&amp;A deal in years — meets Sinek's standard for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Gildan at 8.45x forward earnings offers a compelling value entry into one of the world's largest basic apparel platforms. Q2 2026 revenue of $1.58B (+72.3% YoY) and adjusted diluted EPS of $1.28 (beating the $1.12 consensus by 14.3%) demonstrate the combined Gildan-HanesBrands entity is executing early integration successfully, with full-year 2026 guidance of $6.0-6.2B revenue and adjusted EPS of $4.65-$4.75 representing 32-35% earnings growth [1][2]. The PEG ratio of 0.38 is exceptionally low, and the combined portfolio — Hanes, Champion, Gildan, Comfort Colors, Bali — holds #1 or #2 positions across virtually every basic apparel category. The 2.16% dividend yield with 15 years of consecutive payments provides income while the company deleverages from acquisition-driven D/E of 148%. Gildan's vertically integrated, company-owned manufacturing creates structural cost advantages that are essentially immune to AI disruption.</w:t>
      </w:r>
    </w:p>
    <w:p>
      <w:pPr>
        <w:spacing w:after="120"/>
      </w:pPr>
      <w:r>
        <w:rPr>
          <w:rFonts w:ascii="Calibri" w:hAnsi="Calibri"/>
          <w:b w:val="0"/>
          <w:color w:val="3A4A28"/>
          <w:sz w:val="20"/>
        </w:rPr>
        <w:t>The bear case centers on acquisition integration risk and leverage. D/E of 147.6% reflects significant acquisition financing that must be deleveraged over 2-3 years, limiting financial flexibility and increasing vulnerability to demand downturns [5]. Trailing ROE of 8.68% and GAAP profit margin of 1.28% are severely depressed by acquisition charges — adjusted operating margin is guided at 21.8% but GAAP recovery will take multiple quarters. The 72.3% revenue growth is entirely acquisition-driven; organic growth for the legacy Gildan business was low single digits, and HanesBrands brands were declining under prior management. Historical labor controversies in Honduras (dismissal of union members, inadequate wages) and El Salvador (wage withholding at factories) create reputational and regulatory risk for a company that employs 75,000 workers in developing nations [4]. The payout ratio of 73.6% is elevated relative to depressed GAAP earnings, though it normalizes to ~22% on adjusted EPS guidance. Cotton price volatility and tariff exposure on Central American imports add margin uncertainty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HanesBrands integration synergies expected to generate $150-200M+ in annual cost savings as Gildan consolidates manufacturing, supply chain, and administrative functions across the combined 75,000-employee platform — early integration results tracking ahead of plan [1][2]</w:t>
      </w:r>
    </w:p>
    <w:p>
      <w:pPr>
        <w:spacing w:before="40" w:after="40"/>
        <w:ind w:left="283"/>
      </w:pPr>
      <w:r>
        <w:rPr>
          <w:rFonts w:ascii="Calibri" w:hAnsi="Calibri"/>
          <w:b/>
          <w:color w:val="4A6B25"/>
          <w:sz w:val="20"/>
        </w:rPr>
        <w:t xml:space="preserve">2. </w:t>
      </w:r>
      <w:r>
        <w:rPr>
          <w:rFonts w:ascii="Calibri" w:hAnsi="Calibri"/>
          <w:b w:val="0"/>
          <w:color w:val="3A4A28"/>
          <w:sz w:val="20"/>
        </w:rPr>
        <w:t>Deleveraging from 148% D/E toward Gildan's historical sub-100% levels through strong free cash flow generation, potentially unlocking ROE recovery to 20%+ within 18-24 months and supporting dividend growth resumption</w:t>
      </w:r>
    </w:p>
    <w:p>
      <w:pPr>
        <w:spacing w:before="40" w:after="40"/>
        <w:ind w:left="283"/>
      </w:pPr>
      <w:r>
        <w:rPr>
          <w:rFonts w:ascii="Calibri" w:hAnsi="Calibri"/>
          <w:b/>
          <w:color w:val="4A6B25"/>
          <w:sz w:val="20"/>
        </w:rPr>
        <w:t xml:space="preserve">3. </w:t>
      </w:r>
      <w:r>
        <w:rPr>
          <w:rFonts w:ascii="Calibri" w:hAnsi="Calibri"/>
          <w:b w:val="0"/>
          <w:color w:val="3A4A28"/>
          <w:sz w:val="20"/>
        </w:rPr>
        <w:t>Champion brand revitalization under Gildan's operational discipline — Champion carries significant global brand equity that was undermonetized under HanesBrands management, with margin expansion potential in premium activewear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complexity across two large organizations with different cultures, systems, and distribution channels could delay synergy realization — the HanesBrands Australia divestiture signals non-core assets requiring further strategic cleanup [1]</w:t>
      </w:r>
    </w:p>
    <w:p>
      <w:pPr>
        <w:spacing w:before="40" w:after="40"/>
        <w:ind w:left="283"/>
      </w:pPr>
      <w:r>
        <w:rPr>
          <w:rFonts w:ascii="Calibri" w:hAnsi="Calibri"/>
          <w:b/>
          <w:color w:val="4A6B25"/>
          <w:sz w:val="20"/>
        </w:rPr>
        <w:t xml:space="preserve">2. </w:t>
      </w:r>
      <w:r>
        <w:rPr>
          <w:rFonts w:ascii="Calibri" w:hAnsi="Calibri"/>
          <w:b w:val="0"/>
          <w:color w:val="3A4A28"/>
          <w:sz w:val="20"/>
        </w:rPr>
        <w:t>Consumer spending deceleration in basic apparel categories as potential recession reduces discretionary spending on underwear, socks, and activewear upgrades, pressuring pricing on value-oriented brands like Hanes [2]</w:t>
      </w:r>
    </w:p>
    <w:p>
      <w:pPr>
        <w:spacing w:before="40" w:after="40"/>
        <w:ind w:left="283"/>
      </w:pPr>
      <w:r>
        <w:rPr>
          <w:rFonts w:ascii="Calibri" w:hAnsi="Calibri"/>
          <w:b/>
          <w:color w:val="4A6B25"/>
          <w:sz w:val="20"/>
        </w:rPr>
        <w:t xml:space="preserve">3. </w:t>
      </w:r>
      <w:r>
        <w:rPr>
          <w:rFonts w:ascii="Calibri" w:hAnsi="Calibri"/>
          <w:b w:val="0"/>
          <w:color w:val="3A4A28"/>
          <w:sz w:val="20"/>
        </w:rPr>
        <w:t>Labor practice risk across Central American and Bangladeshi manufacturing facilities — historical controversies including Honduras worker rights violations and El Salvador wage-withholding allegations create ESG and reputational overhang that could trigger customer or regulatory action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Gildan's core business is the physical manufacturing of textile products — yarn spinning, knitting, dyeing, cutting, and sewing — in company-owned factories across Central America, the Caribbean, and Asia [1]. AI structurally cannot displace the physical production of apparel. The competitive moat rests on scale-driven manufacturing cost advantages and vertically integrated supply chain control from raw cotton to finished garments, neither of which faces AI substitution risk. The wholesale printwear market may benefit as AI-powered design tools and print-on-demand services increase demand for blank apparel substrates. Consumer brands (Hanes, Champion) face minimal AI disruption since basic apparel purchasing decisions are driven by price, fit, and comfort [3]. Gildan's own filings acknowledge AI could become disruptive but primarily through implementation risk rather than business model substitution [3]. AI Opportunity (0/1): Gildan does not generate meaningful revenue from AI products or services; operational AI tools are for internal supply chain optimization only.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Gildan Q2 2026 Earnings Release — $1.58B Revenue (72.3% YoY Growth), Adjusted Diluted EPS $1.28 (Beat $1.12 Consensus by 14.3%), HanesBrands Australia Divestiture, SEC Form 6-K, July 2026</w:t>
      </w:r>
    </w:p>
    <w:p>
      <w:pPr>
        <w:spacing w:before="20" w:after="20"/>
        <w:ind w:left="170"/>
      </w:pPr>
      <w:r>
        <w:rPr>
          <w:rFonts w:ascii="Calibri" w:hAnsi="Calibri"/>
          <w:b/>
          <w:color w:val="4A6B25"/>
          <w:sz w:val="15"/>
        </w:rPr>
        <w:t xml:space="preserve">2. </w:t>
      </w:r>
      <w:r>
        <w:rPr>
          <w:rFonts w:ascii="Calibri" w:hAnsi="Calibri"/>
          <w:b w:val="0"/>
          <w:color w:val="3A4A28"/>
          <w:sz w:val="17"/>
        </w:rPr>
        <w:t>Gildan FY2026 Guidance — Revenue $6.0-6.2B, Adjusted Operating Margin ~21.8%, Adjusted Diluted EPS $4.65-$4.75 (+32-35% YoY), Investing.com / Quartr Earnings Summary, 2026</w:t>
      </w:r>
    </w:p>
    <w:p>
      <w:pPr>
        <w:spacing w:before="20" w:after="20"/>
        <w:ind w:left="170"/>
      </w:pPr>
      <w:r>
        <w:rPr>
          <w:rFonts w:ascii="Calibri" w:hAnsi="Calibri"/>
          <w:b/>
          <w:color w:val="4A6B25"/>
          <w:sz w:val="15"/>
        </w:rPr>
        <w:t xml:space="preserve">3. </w:t>
      </w:r>
      <w:r>
        <w:rPr>
          <w:rFonts w:ascii="Calibri" w:hAnsi="Calibri"/>
          <w:b w:val="0"/>
          <w:color w:val="3A4A28"/>
          <w:sz w:val="17"/>
        </w:rPr>
        <w:t>Gildan Leadership, Culture, AI Risk Disclosure, and ESG — CEO Chamandy, Glassdoor 4.5/5 Management, 21 Years ESG Reporting, 12 Years DJSI, Fair Labor Association Accredited, GildanCorp.com / SEC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Gildan Labor Controversies — Honduras Worker Rights Violations (Fair Labor Association), El Salvador Wage Withholding (WRC Report), Historical ESG Issues, PPAI / GlobeNewsWire / ResearchGate</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GIL Key Statistics: Forward P/E 8.45x, PEG 0.38, ROE 8.68%, D/E 147.6%, Profit Margin 1.28%, Stock Price $46.19,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