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GLUE</w:t>
      </w:r>
      <w:r>
        <w:rPr>
          <w:rFonts w:ascii="Calibri" w:hAnsi="Calibri"/>
          <w:b/>
          <w:color w:val="1A2010"/>
          <w:sz w:val="40"/>
        </w:rPr>
        <w:t xml:space="preserve">  Monte Rosa Therapeutics, Inc.</w:t>
      </w:r>
    </w:p>
    <w:p>
      <w:pPr>
        <w:spacing w:after="120"/>
      </w:pPr>
      <w:r>
        <w:rPr>
          <w:rFonts w:ascii="Calibri" w:hAnsi="Calibri"/>
          <w:b/>
          <w:color w:val="6E8450"/>
          <w:sz w:val="18"/>
        </w:rPr>
        <w:t>GROWTH SLEEVE · 2026-09-16 · Inspire: 26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Monte Rosa Therapeutics is a clinical-stage biotechnology company developing novel small molecule molecular glue degraders (MGDs) that harness the body's natural protein degradation mechanisms. Key programs include MRT-6160 for autoimmune diseases (licensed to Novartis, now in Phase 2 for Sjogren's disease), MRT-2359 for MYC-driven cancers (Phase 2 combo in mCRPC), MRT-8102 for inflammatory/cardiovascular diseases (Phase 1 GFORCE-1 enrollment complete), and a CDK2/Cyclin E1 program approaching IND filing. The company's QuEEN AI-guided discovery engine enables rational design of MGD candidates. Cash of $626M provides runway into 2029.</w:t>
      </w:r>
    </w:p>
    <w:p>
      <w:r>
        <w:rPr>
          <w:rFonts w:ascii="Calibri" w:hAnsi="Calibri"/>
          <w:b/>
          <w:color w:val="6E8450"/>
          <w:sz w:val="18"/>
        </w:rPr>
        <w:t>173 Employees · https://www.monterosatx.com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Monte Rosa has advanced three clinical-stage programs since its 2019 founding, secured a landmark $150M upfront Novartis licensing deal for MRT-6160 (eligible for up to $2.1B in milestones), and demonstrated &gt;90% VAV1 degradation in Phase 1 studies [1]. Novartis has now activated a Phase 2 trial of MRT-6160 (DDY391) in Sjogren's disease, validating the platform with a major pharma partner's clinical commitment. The GFORCE-1 Phase 1 trial of MRT-8102 completed enrollment and dosing in subjects with elevated cardiovascular risk, with data readout expected H2 2026 [1]. AI Deployment (2/2): The QuEEN discovery engine combines AI-guided computational chemistry, computational biology, structural biology, and proteomics to identify degradable targets and rationally design MGDs — a genuine AI-driven drug discovery platform with measurable output (three clinical candidates, CDK2 IND planned, second-gen NEK7 degrader IND expected H2 2026) [2]. Market Share (1/2): Monte Rosa is a leading molecular glue degrader company alongside Arvinas and C4 Therapeutics, occupying a meaningful position in an emerging drug modality with differentiated QuEEN platform capabilities [2]. Product Pipeline (2/2): Strong multi-program visibility — GFORCE-1 data readout H2 2026, MODeFIRe-1 Phase 2 for MRT-2359 in mCRPC activated, Novartis Phase 2 for MRT-6160 in Sjogren's, second-gen NEK7 degrader IND H2 2026, cyclin E1 degrader IND 2027 [1]. R&amp;D Intensity (1/1): R&amp;D spending of $48M in Q2 2026 alone on $9M revenue reflects dominant R&amp;D investment as expected for a clinical-stage biotech with four active programs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Monte Rosa's mission to 'unlock the potential of molecular glue degraders to address diseases previously considered undruggable' is specific and thoughtful — it connects the company's work to expanding the boundaries of medicine beyond existing therapeutic approaches and clearly differentiates from generic biotech platitudes [2]. The mission reflects genuine intentionality about pushing science into new territory. Community Impact (0/2): No evidence of specific charitable programs, foundation, or community investment initiatives. The company's therapeutic work addresses unmet medical needs, but this is the core business model rather than community giving [2]. Employee Retention (1/2): Recent leadership promotions from within (Sharon Townson to CSO, Jennifer Champoux to COO with culture/engagement expertise, Phil Nickson to CBLO) suggest reasonable internal talent development and retention for a 173-person biotech. CEO Markus Warmuth has led since founding, providing continuity [2]. Insider Buying (0/2): Insider ownership is minimal at 0.56% per yfinance. No evidence of meaningful net insider buying by executives in the past 12 months; the stock has declined ~50% from 52-week highs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reflecting pre-revenue clinical-stage biotech economics. D/E of 7.8% scores 1.0 — minimal debt with $626M cash providing runway into 2029 [1]. ROE of -42.7% scores 0.0 (2x weight for growth stock), reflecting ongoing cash burn inherent to clinical-stage development [3]. Revenue growth YoY of -61.3% scores 0.0, as Q2 2026 collaboration revenue of $9M declined sharply from prior-year Novartis upfront recognition — highlighting the lumpy, non-recurring nature of pre-commercialization biotech revenue [1]. Profit margin scores 0.0 (Q2 net loss of $43.4M on $9M revenue). Forward P/E (-6.89x), PEG, and 5yr CAGR are excluded as unavailable or economically meaningless. The score of 2 reflects the reality that only D/E contributes positively among available metrics (1.0 out of 5 available weight units). The $626M cash position is the critical mitigant not captured in traditional profitability metrics. Liquidity floor cleared: 1.46M avg vol x $12.92 = $18.8M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Monte Rosa demonstrates mixed infinite game characteristics with a bias toward genuine long-term purpose. The commitment to expanding medicine's boundaries through molecular glue degraders reflects authentic purpose, and the patient approach to building the QuEEN AI discovery platform shows investment in enduring capability [2]. The Novartis partnership and internal promotions suggest strategic maturity. However, at only 7 years old, the company's cause has not been tested through crisis or leadership transition, and the deprioritization of MRT-2359 expansion arms following mixed data introduces finite-game pressure to conserve resources.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Monte Rosa's cause — making previously undruggable proteins druggable through molecular glue degraders — is specific, service-oriented, inclusive, and bigger than any single product [2]. The mission connects scientific innovation to patient impact across oncology, autoimmune, and inflammatory diseases. The GFORCE-1 trial completion and Novartis Phase 2 activation provide emerging validation. However, at only 7 years old and with no commercial products yet, the cause hasn't been proven through multi-decade consistency, leadership transitions, or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Internal promotions of Sharon Townson to CSO, Jennifer Champoux to COO (with culture/engagement expertise), and Phil Nickson to CBLO signal a culture of developing talent from within [2]. CEO Markus Warmuth has led since founding, providing leadership continuity. At 173 employees, the organization appears stable without public reports of significant turnover or cultural dysfunction. The emphasis on Champoux's employee engagement expertise suggests intentional focus on organizational health.</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Monte Rosa's Novartis and Roche partnerships demonstrate willingness to collaborate with larger players who have complementary strengths in clinical development and commercialization, rather than competing to dominate every stage of drug development [2]. Management positions the QuEEN platform's capabilities as differentiated rather than framing Arvinas and C4 Therapeutics as enemies to defeat. The competitive language focuses on platform advantages, not rival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Monte Rosa deprioritized MRT-2359 expansion arms to focus resources on the most promising indications (CRPC, ER+ breast cancer) following mixed data, demonstrating willingness to adapt strategy based on clinical evidence rather than clinging to the original plan [1]. The pipeline has evolved with new IND filings (NEK7 degrader H2 2026, cyclin E1 2027). However, these are incremental portfolio adjustments, not transformative pivots, and the core MGD strategy has remained constant since founding.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Monte Rosa invested in building the proprietary QuEEN AI discovery platform from scratch rather than licensing existing technology, a costly long-term bet in computational infrastructure [2]. The Novartis licensing decision — giving up control of MRT-6160 for $150M upfront and $2.1B potential milestones — reflects strategic courage to partner for global commercialization capability the company lacks. Maintaining $48M/quarter R&amp;D spending while stock declined ~50% shows commitment to pipeline over cost-cutting.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Monte Rosa Therapeutics is a clinical-stage biotech pioneer in molecular glue degraders with an AI-powered discovery engine (QuEEN) that has produced three clinical candidates and attracted partnerships with Novartis ($150M upfront, $2.1B milestones) and Roche [2]. Multiple near-term catalysts include GFORCE-1 Phase 1 data readout in H2 2026, Novartis Phase 2 for MRT-6160 in Sjogren's disease, MODeFIRe-1 Phase 2 activation for MRT-2359 in mCRPC, and second-gen NEK7 degrader IND expected H2 2026 [1]. The $626M cash position provides runway into 2029, eliminating near-term dilution risk. At $1.1B market cap (down from ~$2B), the stock offers significant optionality on pipeline catalysts with a strong balance sheet backstop.</w:t>
      </w:r>
    </w:p>
    <w:p>
      <w:pPr>
        <w:spacing w:after="120"/>
      </w:pPr>
      <w:r>
        <w:rPr>
          <w:rFonts w:ascii="Calibri" w:hAnsi="Calibri"/>
          <w:b w:val="0"/>
          <w:color w:val="3A4A28"/>
          <w:sz w:val="20"/>
        </w:rPr>
        <w:t>The bear case centers on clinical execution risk and deteriorating financial metrics. Q2 2026 collaboration revenue of $9M reflects the lumpy, unpredictable nature of pre-commercialization biotech economics — down 61% YoY as Novartis milestone recognition was non-recurring [1]. Net loss of $43.4M in Q2 alone (R&amp;D $48M + G&amp;A $10.1M vs $9M revenue) produces deeply negative margins, with full-year 2026 EPS estimated at -$1.23 [1][3]. MRT-2359 showed mixed results leading to expansion arm deprioritization, raising questions about the breadth of the platform's clinical applicability. The stock has fallen ~50% from its 52-week high of $25.77, with short interest at 21.5% signaling significant skepticism. ROE of -42.7% and revenue declining 61% YoY will deter value-oriented investors. Any clinical setback — particularly disappointing GFORCE-1 data or CDK2 IND delays — could cause severe de-rating as the entire valuation rests on pipeline optionality, and the molecular glue degrader space is increasingly competitive with Arvinas, C4, and large pharma entering.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GFORCE-1 Phase 1 data readout in H2 2026 for MRT-8102 in cardiovascular disease risk subjects — enrollment and dosing complete, positive interim CRP data sets a high bar [1]</w:t>
      </w:r>
    </w:p>
    <w:p>
      <w:pPr>
        <w:spacing w:before="40" w:after="40"/>
        <w:ind w:left="283"/>
      </w:pPr>
      <w:r>
        <w:rPr>
          <w:rFonts w:ascii="Calibri" w:hAnsi="Calibri"/>
          <w:b/>
          <w:color w:val="4A6B25"/>
          <w:sz w:val="20"/>
        </w:rPr>
        <w:t xml:space="preserve">2. </w:t>
      </w:r>
      <w:r>
        <w:rPr>
          <w:rFonts w:ascii="Calibri" w:hAnsi="Calibri"/>
          <w:b w:val="0"/>
          <w:color w:val="3A4A28"/>
          <w:sz w:val="20"/>
        </w:rPr>
        <w:t>Second-generation NEK7-directed degrader IND submission expected H2 2026 and cyclin E1-directed degrader IND in 2027, expanding the platform's clinical footprint [1]</w:t>
      </w:r>
    </w:p>
    <w:p>
      <w:pPr>
        <w:spacing w:before="40" w:after="40"/>
        <w:ind w:left="283"/>
      </w:pPr>
      <w:r>
        <w:rPr>
          <w:rFonts w:ascii="Calibri" w:hAnsi="Calibri"/>
          <w:b/>
          <w:color w:val="4A6B25"/>
          <w:sz w:val="20"/>
        </w:rPr>
        <w:t xml:space="preserve">3. </w:t>
      </w:r>
      <w:r>
        <w:rPr>
          <w:rFonts w:ascii="Calibri" w:hAnsi="Calibri"/>
          <w:b w:val="0"/>
          <w:color w:val="3A4A28"/>
          <w:sz w:val="20"/>
        </w:rPr>
        <w:t>Novartis Phase 2 advancement of MRT-6160 (DDY391) in Sjogren's disease, potentially triggering development milestones from the $2.1B milestone package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Clinical trial failure risk — MRT-2359 already showed mixed data leading to arm deprioritization; GFORCE-1 or CDK2 setbacks could undermine QuEEN platform credibility and crater the $1.1B market cap [1]</w:t>
      </w:r>
    </w:p>
    <w:p>
      <w:pPr>
        <w:spacing w:before="40" w:after="40"/>
        <w:ind w:left="283"/>
      </w:pPr>
      <w:r>
        <w:rPr>
          <w:rFonts w:ascii="Calibri" w:hAnsi="Calibri"/>
          <w:b/>
          <w:color w:val="4A6B25"/>
          <w:sz w:val="20"/>
        </w:rPr>
        <w:t xml:space="preserve">2. </w:t>
      </w:r>
      <w:r>
        <w:rPr>
          <w:rFonts w:ascii="Calibri" w:hAnsi="Calibri"/>
          <w:b w:val="0"/>
          <w:color w:val="3A4A28"/>
          <w:sz w:val="20"/>
        </w:rPr>
        <w:t>Pre-commercialization economics — Q2 net loss of $43.4M on $9M revenue (-482% margin) with R&amp;D of $48M/quarter means cash will deplete despite the $626M runway if clinical timelines extend beyond 2029 [1]</w:t>
      </w:r>
    </w:p>
    <w:p>
      <w:pPr>
        <w:spacing w:before="40" w:after="40"/>
        <w:ind w:left="283"/>
      </w:pPr>
      <w:r>
        <w:rPr>
          <w:rFonts w:ascii="Calibri" w:hAnsi="Calibri"/>
          <w:b/>
          <w:color w:val="4A6B25"/>
          <w:sz w:val="20"/>
        </w:rPr>
        <w:t xml:space="preserve">3. </w:t>
      </w:r>
      <w:r>
        <w:rPr>
          <w:rFonts w:ascii="Calibri" w:hAnsi="Calibri"/>
          <w:b w:val="0"/>
          <w:color w:val="3A4A28"/>
          <w:sz w:val="20"/>
        </w:rPr>
        <w:t>Short interest at 21.5% of float signals significant market skepticism; competitive pressure from Arvinas, C4 Therapeutics, and large pharma molecular glue programs could compress Monte Rosa's perceived first-mover advantage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Biotech drug development is structurally protected from AI disruption — AI cannot replace Phase 1-3 clinical trials, FDA regulatory review, biological validation, GMP manufacturing, or the years-long approval process required to bring therapeutics to market [2]. Monte Rosa's molecular glue degrader approach addresses 'undruggable' protein targets requiring wet-lab chemistry and clinical testing that AI alone cannot replicate. Patent protection on specific MGD compounds creates additional barriers. The company itself uses AI as a competitive advantage through the QuEEN platform, making it an AI beneficiary rather than a target. However, AI could accelerate competitors' drug design capabilities in the molecular glue space. AI Opportunity (1/1): Monte Rosa actively generates value from its QuEEN AI discovery engine, which uses AI-guided computational chemistry and proteomics to design MGD candidates. The platform has produced four programs including three clinical candidates, and pharma partnerships (Novartis, Roche) specifically leverage this AI-driven discovery capability for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Monte Rosa Therapeutics Q2 2026 Earnings — Revenue $9M, R&amp;D $48M, Net Loss $43.4M, Cash $626M, GFORCE-1 Enrollment Complete, NEK7 IND H2 2026 — StockTitan, ChartMill, August 2026</w:t>
      </w:r>
    </w:p>
    <w:p>
      <w:pPr>
        <w:spacing w:before="20" w:after="20"/>
        <w:ind w:left="170"/>
      </w:pPr>
      <w:r>
        <w:rPr>
          <w:rFonts w:ascii="Calibri" w:hAnsi="Calibri"/>
          <w:b/>
          <w:color w:val="4A6B25"/>
          <w:sz w:val="15"/>
        </w:rPr>
        <w:t xml:space="preserve">2. </w:t>
      </w:r>
      <w:r>
        <w:rPr>
          <w:rFonts w:ascii="Calibri" w:hAnsi="Calibri"/>
          <w:b w:val="0"/>
          <w:color w:val="3A4A28"/>
          <w:sz w:val="17"/>
        </w:rPr>
        <w:t>Monte Rosa Therapeutics Corporate — QuEEN Discovery Engine, Novartis $150M License, Roche Collaboration, Pipeline Programs, Leadership Promotions — monterosatx.com,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Simply Wall St — GLUE Key Statistics: Price $12.92, Market Cap $1.1B, Short Interest 21.5%, ROE -42.7%, Revenue Growth -61.3%,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