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GMAB</w:t>
      </w:r>
      <w:r>
        <w:rPr>
          <w:rFonts w:ascii="Calibri" w:hAnsi="Calibri"/>
          <w:b/>
          <w:color w:val="1A2010"/>
          <w:sz w:val="40"/>
        </w:rPr>
        <w:t xml:space="preserve">  Genmab A/S</w:t>
      </w:r>
    </w:p>
    <w:p>
      <w:pPr>
        <w:spacing w:after="120"/>
      </w:pPr>
      <w:r>
        <w:rPr>
          <w:rFonts w:ascii="Calibri" w:hAnsi="Calibri"/>
          <w:b/>
          <w:color w:val="6E8450"/>
          <w:sz w:val="18"/>
        </w:rPr>
        <w:t>GROWTH SLEEVE · 2026-09-15 · Inspire: 0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76</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Biotechnology · NASDAQ · Denmark</w:t>
      </w:r>
    </w:p>
    <w:p>
      <w:pPr>
        <w:spacing w:after="80"/>
      </w:pPr>
      <w:r>
        <w:rPr>
          <w:rFonts w:ascii="Calibri" w:hAnsi="Calibri"/>
          <w:b w:val="0"/>
          <w:color w:val="3A4A28"/>
          <w:sz w:val="20"/>
        </w:rPr>
        <w:t>Genmab A/S is a Danish biotechnology company specializing in antibody-based therapeutics for cancer and other diseases. The company has eight approved antibody medicines on the market, including DARZALEX (multiple myeloma, via J&amp;J), Kesimpta (multiple sclerosis, via Novartis), EPKINLY/TEPKINLY (lymphoma), and Tivdak (cervical cancer). Genmab's proprietary DuoBody bispecific technology platform and extensive partnership network with J&amp;J, AbbVie, BioNTech, and Novo Nordisk drive its hybrid royalty-and-proprietary revenue model. H1 2026 revenue reached $2.05B (+25% YoY), with full-year guidance raised to $4.33-4.53B.</w:t>
      </w:r>
    </w:p>
    <w:p>
      <w:r>
        <w:rPr>
          <w:rFonts w:ascii="Calibri" w:hAnsi="Calibri"/>
          <w:b/>
          <w:color w:val="6E8450"/>
          <w:sz w:val="18"/>
        </w:rPr>
        <w:t>2,973 Employees · https://www.genmab.com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(3/3): Genmab has successfully launched multiple transformative antibody medicines over the past 5 years — DARZALEX grew to $14.3B in 2025 net sales (via J&amp;J), EPKINLY achieved $468M in proprietary sales (+67% YoY) in 2025 and reached $312M in H1 2026 alone (+48% YoY), and proprietary portfolio sales surged 43% to $176M in Q1 2026 [1][2]. The company expanded from a pure royalty-dependent model to a hybrid with proprietary commercial products, representing genuine business model transformation. AI Deployment (1/2): Genmab's Discovery team is actively using AI for target identification and antibody candidate design, embedding in silico approaches to streamline drug discovery; the company says AI will 'turbocharge' its innovation, with heavy investment in change management for AI adoption [3]. No specific AI-driven revenue or cost savings quantified. Market Share (2/2): DARZALEX is the dominant treatment in multiple myeloma with $14.3B in 2025 sales; Genmab's DuoBody bispecific technology platform powers four approved bispecific medicines, establishing the company as the leading antibody engineering platform globally [1]. Pipeline (2/2): Deep late-stage pipeline including petosemtamab (head &amp; neck cancer), Rina-S (solid tumors), epcoritamab expansions into first-line DLBCL, and acasunlimab in NSCLC, with $5B+ pipeline potential and 2026 revenue guidance raised to $4.33-4.53B [1][2]. R&amp;D Intensity (0/1): R&amp;D spending is significant in absolute terms ($2.7-2.9B guided 2026 opex) but as a percentage of revenue is roughly in line with biotech peers given the high royalty revenue base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Genmab's purpose — to transform the lives of patients through innovative antibody medicine — is specific, thoughtful, and demonstrably lived out through 25+ years of consistent focus on antibody innovation under CEO Jan van de Winkel's scientific leadership since 2010 [3]. The mission connects antibody engineering directly to patient outcomes and differentiates from generic biotech missions through the specific focus on antibody platforms as the mechanism. Community Impact (1/2): Genmab publishes annual Corporate Responsibility Reports following SASB and TCFD frameworks and has patient access programs, but specific charitable giving dollar amounts and community investment details are not prominently disclosed [4]. Employee Retention (1/2): CEO van de Winkel's 16-year tenure provides exceptional leadership stability, and the company cultivates a culture with employees from 75+ nationalities emphasizing 'non-conventional approaches' [3]. However, Glassdoor reviews also cite rapid growth causing disorganization and top-down decision-making [3]. No specific voluntary turnover rates or average employee tenure data was identified. Insider Buying (0/2): No evidence of meaningful net insider buying by CEO van de Winkel or other executives in the last 12 months was found in public disclosures.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H1 2026 delivered $2.05B revenue (+25% YoY), with royalty revenue growth of 26% and EPKINLY proprietary sales of $312M (+48% YoY) [1][2]. Full-year 2026 guidance was raised to $4.33-4.53B, representing ~19% growth at midpoint. Revenue growth YoY of 24.9% substantially exceeds the 10% target. Estimated 5-year revenue CAGR of ~20% also exceeds the target. Forward P/E of 20.53x is near the 20x target, reflecting reasonable valuation for a high-growth biotech. ROE of 14.0% is just below the 15% target (scores 0.93). Profit margin of 19.08% is just below 20% target (scores 0.95). D/E of 88.5% is modestly above the 70% target (scores 0.92). PEG ratio was unavailable due to negative TTM earnings growth and excluded from calculation. All available metrics score above 0.9, producing weighted average near ceiling. Liquidity floor easily cleared: 2.17M avg volume x $32.65 = $70.9M daily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16A34A"/>
          <w:sz w:val="28"/>
        </w:rPr>
        <w:t>7</w:t>
      </w:r>
      <w:r>
        <w:rPr>
          <w:rFonts w:ascii="Calibri" w:hAnsi="Calibri"/>
          <w:b w:val="0"/>
          <w:color w:val="9DAF88"/>
          <w:sz w:val="18"/>
        </w:rPr>
        <w:t xml:space="preserve"> /10</w:t>
      </w:r>
    </w:p>
    <w:p>
      <w:pPr>
        <w:spacing w:after="120"/>
      </w:pPr>
      <w:r>
        <w:rPr>
          <w:rFonts w:ascii="Calibri" w:hAnsi="Calibri"/>
          <w:b w:val="0"/>
          <w:color w:val="3A4A28"/>
          <w:sz w:val="18"/>
        </w:rPr>
        <w:t>Genmab demonstrates strong infinite game characteristics anchored by co-founder CEO Jan van de Winkel's 16-year tenure and the company's 25+ year consistent focus on antibody innovation. The strategic evolution from pure royalty model to hybrid commercial company shows purposeful adaptation in service of the mission. The partnership-first competitive approach reflects infinite thinking, though the company has not yet faced the kind of existential crisis that fully validates infinite game commitment.</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Genmab's purpose — transforming patient lives through innovative antibody medicine — is genuine and has been consistently pursued for 25+ years under founder leadership [3]. Strategic decisions trace clearly back to this cause: every partnership (J&amp;J, AbbVie, Novo Nordisk), every platform (DuoBody, HexaBody), and every product serves antibody innovation for patients. CEO van de Winkel's 16-year tenure provides consistency of direction. However, the cause has not been tested through a genuine existential crisis or leadership transition that would elevate it to the highest tier.</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CEO van de Winkel cultivates a collaborative culture with employees from 75+ nationalities, encouraging 'non-conventional approaches' and investing heavily in people-centric change management for AI adoption [3]. The relatively small workforce (~3,000) enables closer organizational cohesion than large pharma peers. However, Glassdoor reviews cite rapid growth leading to disorganization, top-down decision-making with limited transparency, and mid-level managers lacking leadership experience — suggesting organizational trust has not fully scaled with the company's growth [3].</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Genmab's extensive partnership model — collaborating with J&amp;J, AbbVie, BioNTech, Novo Nordisk — demonstrates an organization that learns from and cooperates with industry leaders rather than competing to destroy them [1]. The company explicitly licenses its technology platforms to partners, acknowledging that others' commercial capabilities complement its own innovation strengths. This is an infinite competitive mindset — using others' strengths to amplify your own.</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Genmab has evolved from a pure royalty-dependent company into a hybrid model with rapidly growing proprietary commercial products (EPKINLY $312M in H1 2026 alone, proprietary sales +43% in Q1 2026), building its own sales force and market access capabilities [1][2]. This is meaningful strategic adaptation that required new organizational capabilities, but is incremental evolution within the antibody domain rather than a transformative pivot outside its core expertise.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Genmab committed to $2.7-2.9B in 2026 operating expenses for late-stage pipeline investments, accepting near-term profit compression to advance petosemtamab, Rina-S, and other candidates [1][2]. The decision to build proprietary commercial capabilities with EPKINLY rather than licensing it to a large pharma partner required significant upfront investment with uncertain returns. However, the DARZALEX royalty stream provides a financial cushion that somewhat reduces the relative risk of these investments.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Genmab at 20.5x forward earnings offers compelling value for a biotech growing revenue 25% YoY with a durable royalty-and-proprietary revenue mix. H1 2026 revenue of $2.05B and raised full-year guidance to $4.33-4.53B demonstrate accelerating momentum, driven by DARZALEX royalties (~$2.5B annual from $14.3B J&amp;J net sales) and EPKINLY proprietary sales of $312M in H1 (+48% YoY) [1][2]. The DuoBody bispecific technology platform powers four approved medicines and a deep late-stage pipeline with $5B+ potential. Infrastructure score of 10 reflects strong fundamentals across revenue growth, valuation, and margin metrics. The transition from pure royalty model to hybrid commercial company creates a higher-margin revenue mix as EPKINLY and other proprietary products scale.</w:t>
      </w:r>
    </w:p>
    <w:p>
      <w:pPr>
        <w:spacing w:after="120"/>
      </w:pPr>
      <w:r>
        <w:rPr>
          <w:rFonts w:ascii="Calibri" w:hAnsi="Calibri"/>
          <w:b w:val="0"/>
          <w:color w:val="3A4A28"/>
          <w:sz w:val="20"/>
        </w:rPr>
        <w:t>The bear case centers on DARZALEX concentration risk, margin compression, and valuation premium at current levels. DARZALEX royalties represent approximately 60-65% of revenue, creating significant dependency on a single J&amp;J-controlled product that will eventually face biosimilar competition in the late 2020s [1]. Operating expenses are guided to increase 23-32% in 2026 ($2.7-2.9B) as Genmab invests in late-stage trials and commercial launch readiness, and the stock price has risen 14% since the July screen (from $28.72 to $32.65), pushing forward P/E to 20.53x — at the threshold of the 20x target [5]. EPS growth was -9.4% YoY despite 25% revenue growth, reflecting margin pressure from the commercialization buildout. The transition from royalty-dependent to self-commercializing company carries execution risk in building sales forces across multiple geographies. The Inspire Impact Score of 0 (MIXED) reflects limited ESG data availability for this Danish biotech.</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EPKINLY expansion into first-line DLBCL and follicular lymphoma with proprietary sales of $312M in H1 2026 (+48% YoY), representing a trajectory toward a multi-billion dollar proprietary franchise [1][2]</w:t>
      </w:r>
    </w:p>
    <w:p>
      <w:pPr>
        <w:spacing w:before="40" w:after="40"/>
        <w:ind w:left="283"/>
      </w:pPr>
      <w:r>
        <w:rPr>
          <w:rFonts w:ascii="Calibri" w:hAnsi="Calibri"/>
          <w:b/>
          <w:color w:val="4A6B25"/>
          <w:sz w:val="20"/>
        </w:rPr>
        <w:t xml:space="preserve">2. </w:t>
      </w:r>
      <w:r>
        <w:rPr>
          <w:rFonts w:ascii="Calibri" w:hAnsi="Calibri"/>
          <w:b w:val="0"/>
          <w:color w:val="3A4A28"/>
          <w:sz w:val="20"/>
        </w:rPr>
        <w:t>Late-stage pipeline readouts for petosemtamab (head &amp; neck cancer) and Rina-S (solid tumors) representing $5B+ in potential pipeline value, with multiple data readouts expected through 2027 [2]</w:t>
      </w:r>
    </w:p>
    <w:p>
      <w:pPr>
        <w:spacing w:before="40" w:after="40"/>
        <w:ind w:left="283"/>
      </w:pPr>
      <w:r>
        <w:rPr>
          <w:rFonts w:ascii="Calibri" w:hAnsi="Calibri"/>
          <w:b/>
          <w:color w:val="4A6B25"/>
          <w:sz w:val="20"/>
        </w:rPr>
        <w:t xml:space="preserve">3. </w:t>
      </w:r>
      <w:r>
        <w:rPr>
          <w:rFonts w:ascii="Calibri" w:hAnsi="Calibri"/>
          <w:b w:val="0"/>
          <w:color w:val="3A4A28"/>
          <w:sz w:val="20"/>
        </w:rPr>
        <w:t>Full-year 2026 revenue guidance raised to $4.33-4.53B (from $4.07-4.40B), with Q1 annualized run-rate suggesting potential for further upward revisions as DARZALEX and EPKINLY momentum continues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DARZALEX concentration risk — royalties from a single J&amp;J-controlled product represent ~60-65% of revenue, with eventual biosimilar competition in the late 2020s threatening the royalty stream [1]</w:t>
      </w:r>
    </w:p>
    <w:p>
      <w:pPr>
        <w:spacing w:before="40" w:after="40"/>
        <w:ind w:left="283"/>
      </w:pPr>
      <w:r>
        <w:rPr>
          <w:rFonts w:ascii="Calibri" w:hAnsi="Calibri"/>
          <w:b/>
          <w:color w:val="4A6B25"/>
          <w:sz w:val="20"/>
        </w:rPr>
        <w:t xml:space="preserve">2. </w:t>
      </w:r>
      <w:r>
        <w:rPr>
          <w:rFonts w:ascii="Calibri" w:hAnsi="Calibri"/>
          <w:b w:val="0"/>
          <w:color w:val="3A4A28"/>
          <w:sz w:val="20"/>
        </w:rPr>
        <w:t>Operating expense ramp of 23-32% in 2026 for pipeline investments compressing margins, with clinical trial failures representing binary risk to the substantial R&amp;D investment in petosemtamab and Rina-S [1][2]</w:t>
      </w:r>
    </w:p>
    <w:p>
      <w:pPr>
        <w:spacing w:before="40" w:after="40"/>
        <w:ind w:left="283"/>
      </w:pPr>
      <w:r>
        <w:rPr>
          <w:rFonts w:ascii="Calibri" w:hAnsi="Calibri"/>
          <w:b/>
          <w:color w:val="4A6B25"/>
          <w:sz w:val="20"/>
        </w:rPr>
        <w:t xml:space="preserve">3. </w:t>
      </w:r>
      <w:r>
        <w:rPr>
          <w:rFonts w:ascii="Calibri" w:hAnsi="Calibri"/>
          <w:b w:val="0"/>
          <w:color w:val="3A4A28"/>
          <w:sz w:val="20"/>
        </w:rPr>
        <w:t>Organizational scaling challenges as Genmab grows from R&amp;D-focused biotech to commercial hybrid model — Glassdoor reviews cite disorganization, unclear roles, and management inexperience at mid-tier levels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Genmab's core business — discovering, developing, and commercializing antibody-based therapeutics — is structurally immune to AI disruption. Drug development requires wet-lab biology, multi-year clinical trials with human patients, FDA/EMA regulatory approval, and physical manufacturing of biologic medicines that AI cannot replace [3]. The company's proprietary antibody platforms (DuoBody, HexaBody, DuoHexaBody) represent decades of accumulated biological IP. Partnership contracts with J&amp;J, AbbVie, and Novo Nordisk create contractual moats independent of AI dynamics. No analysts have flagged AI as a disruption risk for Genmab. AI Opportunity (1/1): Genmab is actively deploying AI in drug discovery for target identification and antibody candidate design, calling it a force that will 'turbocharge' their innovation capability [3]. The company invested heavily in change management to integrate AI across its R&amp;D pipeline, which should accelerate preclinical development and reduce costs over time.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Genmab H1 2026 Financial Results — Revenue $2.05B (+25%), EPKINLY $312M (+48%), FY2026 Guidance Raised to $4.33-4.53B, Investor Relations, August 2026</w:t>
      </w:r>
    </w:p>
    <w:p>
      <w:pPr>
        <w:spacing w:before="20" w:after="20"/>
        <w:ind w:left="170"/>
      </w:pPr>
      <w:r>
        <w:rPr>
          <w:rFonts w:ascii="Calibri" w:hAnsi="Calibri"/>
          <w:b/>
          <w:color w:val="4A6B25"/>
          <w:sz w:val="15"/>
        </w:rPr>
        <w:t xml:space="preserve">2. </w:t>
      </w:r>
      <w:r>
        <w:rPr>
          <w:rFonts w:ascii="Calibri" w:hAnsi="Calibri"/>
          <w:b w:val="0"/>
          <w:color w:val="3A4A28"/>
          <w:sz w:val="17"/>
        </w:rPr>
        <w:t>Genmab Q1 2026 Earnings Release — $896M revenue (+25% YoY), proprietary sales $176M (+43%), $5B+ pipeline potential, May 2026</w:t>
      </w:r>
    </w:p>
    <w:p>
      <w:pPr>
        <w:spacing w:before="20" w:after="20"/>
        <w:ind w:left="170"/>
      </w:pPr>
      <w:r>
        <w:rPr>
          <w:rFonts w:ascii="Calibri" w:hAnsi="Calibri"/>
          <w:b/>
          <w:color w:val="4A6B25"/>
          <w:sz w:val="15"/>
        </w:rPr>
        <w:t xml:space="preserve">3. </w:t>
      </w:r>
      <w:r>
        <w:rPr>
          <w:rFonts w:ascii="Calibri" w:hAnsi="Calibri"/>
          <w:b w:val="0"/>
          <w:color w:val="3A4A28"/>
          <w:sz w:val="17"/>
        </w:rPr>
        <w:t>Genmab Corporate Website, Glassdoor Reviews, Leadership — CEO van de Winkel (since 2010), AI drug discovery strategy, employee culture,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Genmab Corporate Responsibility Report 2023, SASB ESG Data Tables, TCFD Commitment,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Yahoo Finance — GMAB Key Statistics: Forward P/E 20.53x, ROE 14.0%, D/E 88.52%, Profit Margin 19.08%, Stock Price $32.65,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