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GM</w:t>
      </w:r>
      <w:r>
        <w:rPr>
          <w:rFonts w:ascii="Calibri" w:hAnsi="Calibri"/>
          <w:b/>
          <w:color w:val="1A2010"/>
          <w:sz w:val="40"/>
        </w:rPr>
        <w:t xml:space="preserve">  General Motors Company</w:t>
      </w:r>
    </w:p>
    <w:p>
      <w:pPr>
        <w:spacing w:after="120"/>
      </w:pPr>
      <w:r>
        <w:rPr>
          <w:rFonts w:ascii="Calibri" w:hAnsi="Calibri"/>
          <w:b/>
          <w:color w:val="6E8450"/>
          <w:sz w:val="18"/>
        </w:rPr>
        <w:t>GROWTH SLEEVE · 2026-10-15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NYSE · United States</w:t>
      </w:r>
    </w:p>
    <w:p>
      <w:pPr>
        <w:spacing w:after="80"/>
      </w:pPr>
      <w:r>
        <w:rPr>
          <w:rFonts w:ascii="Calibri" w:hAnsi="Calibri"/>
          <w:b w:val="0"/>
          <w:color w:val="3A4A28"/>
          <w:sz w:val="20"/>
        </w:rPr>
        <w:t>General Motors is one of the world's largest automakers, designing, manufacturing, and selling vehicles under the Chevrolet, Buick, GMC, and Cadillac brands, with additional operations in vehicle financing (GM Financial). Under CEO Mary Barra (since 2014), GM has committed over $35B to EV and autonomous vehicle development while maintaining dominance in profitable North American trucks and SUVs. Q2 2026 revenue rose 1.9% to $48.0B with adjusted EBIT surging 30% to $3.94B and adjusted EPS up 41% to $3.57. Management raised full-year 2026 guidance for the second time to adjusted EBIT $14.0-16.0B and adjusted EPS $12-14, with 2027 expected to surpass 2026.</w:t>
      </w:r>
    </w:p>
    <w:p>
      <w:r>
        <w:rPr>
          <w:rFonts w:ascii="Calibri" w:hAnsi="Calibri"/>
          <w:b/>
          <w:color w:val="6E8450"/>
          <w:sz w:val="18"/>
        </w:rPr>
        <w:t>156,000 Employees · https://www.gm.com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GM has executed a significant electrification pivot, launching the Ultium battery platform and delivering EV models across its portfolio — Chevrolet Equinox EV, GMC Hummer EV, Cadillac LYRIQ, and Silverado EV — while simultaneously strengthening its ICE truck and SUV franchise [1]. The $10B+ Cruise autonomous vehicle investment ended in shutdown, representing a major failed innovation bet. Revenue grew from $127B in 2021 to $185B in 2025, a 46% increase driven by pricing power and volume recovery. AI Deployment (1/2): GM deploys AI through Super Cruise and Ultra Cruise advanced driver assistance systems shipping in production vehicles across Cadillac, Chevrolet, and GMC models [2]. AI is also deployed in manufacturing optimization and quality control. However, the Cruise shutdown demonstrated AI execution challenges relative to Tesla and Waymo. Market Share (2/2): GM is the #1 automaker in the U.S. by market share, with dominant positions in the highly profitable full-size pickup (Silverado, Sierra) and full-size SUV (Tahoe, Suburban, Yukon) segments that competitors have not replicated at scale [1]. Pipeline (1/2): Multi-year EV launch cadence across all brands and Super Cruise expanding to more models, but EV strategy pullback and Cruise shutdown reduce pipeline credibility. R&amp;D Intensity (1/1): R&amp;D spending exceeds industry average, reflecting dual investment in EV/battery technology and continued ICE platform development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Mary Barra's vision of 'zero crashes, zero emissions, zero congestion' is specific, ambitious, and connects GM's work to genuine social benefits — road safety, environmental sustainability, and urban mobility [2]. The vision has shaped billions in strategic investment and guided the company's transformation since 2016, differentiating GM from peers with generic missions. However, the EV pullback and Cruise shutdown create tension between stated vision and operational execution, preventing a 4. Community Impact (1/2): GM committed to 100% renewable energy in the U.S. by 2030 and globally by 2040, has asked suppliers to commit to carbon neutrality, and pivoted manufacturing to produce ventilators during COVID-19 [3]. General corporate philanthropy without standout distinctive programs. Employee Retention (1/2): Barra's 12+ year CEO tenure provides exceptional leadership continuity. GM named a 'Best Place to Work' 2026 by Built In [2]. No specific retention or tenure data publicly available. Insider Buying (0/2): Net insider selling of $66.2M over recent months including CEO Barra selling 83,476 shares at $85.10 — significant insider monetization with no buying reported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current metrics. Forward P/E of 5.5x is extremely low, reflecting deep cyclical discount, and Forward PEG of 0.29 earns maximum marks on growth-adjusted valuation [4]. However, GAAP trailing metrics tell a different story: profit margin of 1.05% (scoring 0.05) and ROE of 3.16% (scoring 0.21 at 2x weight) are severely depressed by EV transition losses, the $1.1B EV supplier settlement in Q1, and Cruise-related write-offs [1][4]. D/E of 202% is elevated but typical for automakers with captive finance operations, scoring 0.43 [4]. Revenue growth YoY of 1.9% is modest (scoring 0.73), while 5-year CAGR of ~8.5% approaches the 10% target (scoring 0.90 at 2x weight) [1]. Weighted sum 6.43/10 = 6.43, rounded to 6. Liquidity floor easily cleared at ~$563M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GM under Mary Barra demonstrates mixed infinite game characteristics. The 'zero crashes, zero emissions, zero congestion' vision is genuinely ambitious, and the $35B+ EV commitment represents real courage. However, the Cruise shutdown, EV strategy pullback, and heavy insider selling reveal tension between infinite game aspiration and finite game reality. Barra's 12-year tenure provides leadership continuity, but the company's competitive response to Tesla and Chinese EVs has been reactive, and the 156,000-person organization carries legacy cultural dynamics.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'Zero crashes, zero emissions, zero congestion' is a genuine Just Cause connecting GM's work to a safer, cleaner, more livable world — specific, ambitious, and shaping billions in strategic investment since 2016 [2]. Barra has consistently articulated this vision across market cycles. However, the EV strategy pullback and Cruise shutdown create a gap between stated cause and operational commitment, suggesting the cause bends when it conflicts with quarterly financial performance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Barra transformed GM's corporate culture from the siloed, cover-up-prone organization that produced the ignition switch crisis into a more collaborative, accountable structure [2]. Named 'Best Place to Work' 2026 by Built In. However, the Cruise shutdown affected thousands of employees, and the EV strategy pullback creates organizational uncertainty that can undermine trust. No specific retention or tenure metrics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GM's leadership publicly acknowledging what Tesla, Toyota, or BYD do better, or framing competition as motivation for self-improvement [2]. GM's competitive language emphasizes its own strengths — market share, truck dominance — rather than learning from rivals' capabilities. The Cruise shutdown could imply recognition of Waymo's superiority but was not framed as a learning opportunity.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GM has demonstrated meaningful strategic flexibility under Barra — selling Opel/Vauxhall to focus on profitable North America, exiting unwinnable markets, and committing $35B+ to electrification [2]. The dual ICE/EV strategy preserves optionality. However, the EV pullback and Cruise shutdown suggest limits — the company adjusted course when the original vision proved costlier than expected, rather than leaning fully into the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$35B+ EV/AV investment was a genuinely courageous long-term bet, accepting years of EV losses and margin dilution [2]. The $1.1B Q1 2026 EV supplier settlement shows willingness to absorb pain for the transition. However, the subsequent EV pullback and Cruise shutdown ($10B+ write-off) suggest courage has limits — the company retreated when costs became too high [1]. Insider selling of $66.2M+ net undermines the signal of long-term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GM at 5.5x forward earnings with a PEG of 0.29 is one of the cheapest large-cap industrials in the market, with raised FY2026 guidance of adjusted EBIT $14.0-16.0B and adjusted EPS $12-14 — the second guidance raise this year — with management guiding 2027 results to surpass 2026 [1]. Q2 2026 adjusted EBIT surged 30% to $3.94B and adjusted EPS grew 41% to $3.57 on consistent vehicle transaction prices, lower warranty costs, and narrowing EV losses. The North America franchise is a profit engine — trucks and SUVs generate industry-leading margins with dominant market share. Adjusted automotive free cash flow surged 78% to $5.03B in Q2, funding $10B+ in annual share buybacks that rapidly compound per-share metrics [1]. The stock has risen 14% from $73 to $83 since August, suggesting the market is beginning to recognize the disconnect between depressed GAAP earnings and strong underlying profitability.</w:t>
      </w:r>
    </w:p>
    <w:p>
      <w:pPr>
        <w:spacing w:after="120"/>
      </w:pPr>
      <w:r>
        <w:rPr>
          <w:rFonts w:ascii="Calibri" w:hAnsi="Calibri"/>
          <w:b w:val="0"/>
          <w:color w:val="3A4A28"/>
          <w:sz w:val="20"/>
        </w:rPr>
        <w:t>The bear case centers on GAAP profitability distortion, cyclical risk, and EV competitive positioning. The gap between trailing GAAP P/E of 37.75x and forward adjusted P/E of 5.5x reveals that GAAP profitability is severely depressed by EV losses, restructuring charges, and Cruise-related costs — GAAP net profit margin of just 1.05% and ROE of 3.16% suggest a struggling business that the adjusted figures contradict [4]. The auto industry is deeply cyclical, and any macro slowdown or consumer credit tightening could rapidly compress the pricing environment underpinning earnings. The EV strategy pullback raises questions about long-term competitiveness versus Tesla (software-defined vehicles, FSD autonomous driving) and Chinese manufacturers (BYD's cost structure and AI-integrated platforms) [2]. D/E of 202% reflects significant leverage through GM Financial's captive lending operations. Massive insider selling including CEO Barra's dispositions signals leadership concern about near-term stock levels [4]. The Inspire Impact Score of -49 (MISALIGNED) limits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adjusted EBIT guidance raised to $14.0-16.0B with adjusted EPS of $12-14, and management guiding 2027 to surpass 2026 — demonstrating earnings momentum beyond cyclical peak concerns [1]</w:t>
      </w:r>
    </w:p>
    <w:p>
      <w:pPr>
        <w:spacing w:before="40" w:after="40"/>
        <w:ind w:left="283"/>
      </w:pPr>
      <w:r>
        <w:rPr>
          <w:rFonts w:ascii="Calibri" w:hAnsi="Calibri"/>
          <w:b/>
          <w:color w:val="4A6B25"/>
          <w:sz w:val="20"/>
        </w:rPr>
        <w:t xml:space="preserve">2. </w:t>
      </w:r>
      <w:r>
        <w:rPr>
          <w:rFonts w:ascii="Calibri" w:hAnsi="Calibri"/>
          <w:b w:val="0"/>
          <w:color w:val="3A4A28"/>
          <w:sz w:val="20"/>
        </w:rPr>
        <w:t>Adjusted automotive free cash flow of $5.03B (+78% YoY) in Q2 funding aggressive share buybacks ($10B+ annually) that rapidly reduce share count and compound per-share earnings at the cheapest forward multiple in large-cap autos [1]</w:t>
      </w:r>
    </w:p>
    <w:p>
      <w:pPr>
        <w:spacing w:before="40" w:after="40"/>
        <w:ind w:left="283"/>
      </w:pPr>
      <w:r>
        <w:rPr>
          <w:rFonts w:ascii="Calibri" w:hAnsi="Calibri"/>
          <w:b/>
          <w:color w:val="4A6B25"/>
          <w:sz w:val="20"/>
        </w:rPr>
        <w:t xml:space="preserve">3. </w:t>
      </w:r>
      <w:r>
        <w:rPr>
          <w:rFonts w:ascii="Calibri" w:hAnsi="Calibri"/>
          <w:b w:val="0"/>
          <w:color w:val="3A4A28"/>
          <w:sz w:val="20"/>
        </w:rPr>
        <w:t>Narrowing EV losses as Equinox EV and LYRIQ scale to higher volumes suggest the EV business approaches contribution margin breakeven, removing the largest drag on consolidated GAAP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distortion — GAAP net profit margin of 1.05% and ROE of 3.16% reflect EV transition costs and one-time charges that make the 5.5x forward P/E optically cheap but mask real underlying margin pressure [4]</w:t>
      </w:r>
    </w:p>
    <w:p>
      <w:pPr>
        <w:spacing w:before="40" w:after="40"/>
        <w:ind w:left="283"/>
      </w:pPr>
      <w:r>
        <w:rPr>
          <w:rFonts w:ascii="Calibri" w:hAnsi="Calibri"/>
          <w:b/>
          <w:color w:val="4A6B25"/>
          <w:sz w:val="20"/>
        </w:rPr>
        <w:t xml:space="preserve">2. </w:t>
      </w:r>
      <w:r>
        <w:rPr>
          <w:rFonts w:ascii="Calibri" w:hAnsi="Calibri"/>
          <w:b w:val="0"/>
          <w:color w:val="3A4A28"/>
          <w:sz w:val="20"/>
        </w:rPr>
        <w:t>Cyclical exposure to consumer discretionary spending — any macro slowdown, rising interest rates, or tightening consumer credit could compress vehicle transaction prices that currently underpin elevated adjusted margins [1]</w:t>
      </w:r>
    </w:p>
    <w:p>
      <w:pPr>
        <w:spacing w:before="40" w:after="40"/>
        <w:ind w:left="283"/>
      </w:pPr>
      <w:r>
        <w:rPr>
          <w:rFonts w:ascii="Calibri" w:hAnsi="Calibri"/>
          <w:b/>
          <w:color w:val="4A6B25"/>
          <w:sz w:val="20"/>
        </w:rPr>
        <w:t xml:space="preserve">3. </w:t>
      </w:r>
      <w:r>
        <w:rPr>
          <w:rFonts w:ascii="Calibri" w:hAnsi="Calibri"/>
          <w:b w:val="0"/>
          <w:color w:val="3A4A28"/>
          <w:sz w:val="20"/>
        </w:rPr>
        <w:t>EV competitive gap versus Tesla (autonomous driving, software integration) and Chinese manufacturers (BYD cost structure, AI-driven platforms) could erode GM's market position as the industry transitions, particularly if the EV strategy pullback delays critical technology development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GM's core business — designing, manufacturing, and selling physical vehicles — is structurally protected from AI disruption by massive capital requirements ($35B+ factories and tooling), regulatory barriers (safety standards, emissions compliance, dealer franchise laws), and brand loyalty built over a century [1]. AI cannot replicate the physical act of building and servicing vehicles. However, GM faces real AI-related competitive pressure: Tesla's AI-driven autonomous driving and software integration create product differentiation risk, while Chinese EV manufacturers with advanced AI-powered features threaten GM's global market position [2]. The Cruise shutdown exposed GM's AI execution gap relative to Waymo and Tesla. AI Opportunity (1/1): GM generates AI-embedded revenue through Super Cruise ADAS, a paid subscription feature shipping in production vehicles across multiple brands and expanding annually to additional models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General Motors Q2 2026 Earnings — Revenue $48.0B (+1.9%), Adjusted EBIT $3.94B (+30%), Adjusted EPS $3.57 (+41%), Adjusted Auto FCF $5.03B (+78%), H1 Revenue $91.65B, Raised FY2026 Guidance: Adj EBIT $14-16B, Adj EPS $12-14, dbusiness.com/just-auto.com/MarketBeat, July 2026</w:t>
      </w:r>
    </w:p>
    <w:p>
      <w:pPr>
        <w:spacing w:before="20" w:after="20"/>
        <w:ind w:left="170"/>
      </w:pPr>
      <w:r>
        <w:rPr>
          <w:rFonts w:ascii="Calibri" w:hAnsi="Calibri"/>
          <w:b/>
          <w:color w:val="4A6B25"/>
          <w:sz w:val="15"/>
        </w:rPr>
        <w:t xml:space="preserve">2. </w:t>
      </w:r>
      <w:r>
        <w:rPr>
          <w:rFonts w:ascii="Calibri" w:hAnsi="Calibri"/>
          <w:b w:val="0"/>
          <w:color w:val="3A4A28"/>
          <w:sz w:val="17"/>
        </w:rPr>
        <w:t>GM Leadership and Innovation — Mary Barra CEO 12+ Years, Zero Crashes/Emissions/Congestion Vision, $35B+ EV/AV Investment, Super Cruise ADAS, Built In 'Best Place to Work' 2026, Ivey Business School/Built In,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GM ESG and Sustainability — Supplier ESG Partnership Pledge, Carbon Neutrality Commitments, Indigenous Peoples' Rights AGM Resolution (15% support), Sustainalytics Controversy Level High, ESGToday/LeadTheCharge,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GM Key Statistics: Stock Price $83.05, Forward P/E 5.50, PEG 0.29, ROE 3.16%, D/E 202%, Profit Margin 1.05%, Insider Selling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