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GNL</w:t>
      </w:r>
      <w:r>
        <w:rPr>
          <w:rFonts w:ascii="Calibri" w:hAnsi="Calibri"/>
          <w:b/>
          <w:color w:val="1A2010"/>
          <w:sz w:val="40"/>
        </w:rPr>
        <w:t xml:space="preserve">  Global Net Lease, Inc.</w:t>
      </w:r>
    </w:p>
    <w:p>
      <w:pPr>
        <w:spacing w:after="120"/>
      </w:pPr>
      <w:r>
        <w:rPr>
          <w:rFonts w:ascii="Calibri" w:hAnsi="Calibri"/>
          <w:b/>
          <w:color w:val="6E8450"/>
          <w:sz w:val="18"/>
        </w:rPr>
        <w:t>DIVIDEND SLEEVE · 2026-09-10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Diversified · NYSE · United States</w:t>
      </w:r>
    </w:p>
    <w:p>
      <w:pPr>
        <w:spacing w:after="80"/>
      </w:pPr>
      <w:r>
        <w:rPr>
          <w:rFonts w:ascii="Calibri" w:hAnsi="Calibri"/>
          <w:b w:val="0"/>
          <w:color w:val="3A4A28"/>
          <w:sz w:val="20"/>
        </w:rPr>
        <w:t>Global Net Lease is a publicly traded net lease real estate investment trust that owns and manages single-tenant net lease properties across the United States, United Kingdom, and Europe. The company completed a transformational period in 2025, internalizing management from former external advisor AR Global in September 2023, completing $3.4 billion in strategic asset dispositions including the sale of its entire multi-tenant retail portfolio, and reducing total debt by over $2.7 billion. GNL is now focused on its repositioned portfolio of higher-quality single-tenant assets.</w:t>
      </w:r>
    </w:p>
    <w:p>
      <w:r>
        <w:rPr>
          <w:rFonts w:ascii="Calibri" w:hAnsi="Calibri"/>
          <w:b/>
          <w:color w:val="6E8450"/>
          <w:sz w:val="18"/>
        </w:rPr>
        <w:t>100 Employees · https://globalnetlease.com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GNL executed a major portfolio transformation in 2024-2025, completing $3.4B in strategic dispositions including the sale of its multi-tenant retail portfolio, reducing debt by $2.7B, and internalizing management from AR Global — a significant business restructuring that repositioned the company, though driven by correcting prior mismanagement rather than innovation [1]. AI Deployment (0/2): No AI products, platforms, or AI-driven efficiency gains have been disclosed; GNL's operations involve traditional net lease property management and acquisition [2]. Market Share (0/2): GNL has a market cap of approximately $2.2B, making it a small player in the net lease REIT space compared to category leaders Realty Income ($50B+), NNN REIT ($8B+), and STORE Capital, with no meaningful market share advantage [1]. Pipeline (0/2): 2026 guidance of $0.80-$0.84 AFFO per share represents a decline from $0.99 in 2025, and the growth strategy is described as 'selective acquisitions or share repurchases' without specific pipeline visibility [1]. R&amp;D Intensity (0/1): REITs do not have R&amp;D expenditures; innovation in real estate is limited to portfolio strategy and capital allocation.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GNL's tagline is 'A Net Lease Platform Built to Perform' — a marketing statement about the business model rather than a purpose or vision. The company does not articulate a mission beyond delivering shareholder returns through net lease real estate investment [2]. Community Impact (0/2): No specific charitable programs, community development initiatives, or philanthropic foundation were identified; GNL's community impact is limited to property ownership and tenant employment at leased locations [3]. Employee Retention (0/2): CEO Mike Weil was appointed in March 2024 with only 1.5 years of tenure, and Chairman Robert Kauffman joined the board at the same time. The company previously had significant governance issues under external management by AR Global, and the leadership team is too new to demonstrate retention patterns [2]. Insider Buying (0/2): No specific data on net insider buying or selling by GNL executives was found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GNL's financial profile reflects the aftermath of a major portfolio restructuring with improving balance sheet metrics but persistently negative GAAP earnings. The company generated AFFO of $0.99/share in 2025 but guides lower to $0.80-$0.84 for 2026 as disposed assets reduce rental income before replacement investments are made [1]. GAAP net loss resulted in negative ROE of -5.45% and negative profit margin of -8.72%, while D/E of 156.69% is manageable for a REIT [4]. The dividend has been cut three times in approximately 18 months, and the current $0.76/share annual dividend yields 8.39% but lacks sustainability given the declining AFFO trajectory [1]. Mechanically scored (Dividend): D/E 156.69% scores 0.62 (1x), ROE -5.45% scores 0.0 (1x), Revenue Growth YoY -13.08% scores 0.23 (1x), Revenue Growth 5yr CAGR excluded as null, Forward P/E 26.65 scores 0.83 (1x), Profit Margin -8.72% scores 0.0 (1x), Payout Ratio excluded as null (negative earnings), Consecutive Years Paid 11 scores 1.0 (2x), Consecutive Years Growth 0 scores 0.0 (1x), 5yr Dividend Growth CAGR -13.83% scores 0.0 (2x). Weighted sum = 3.69, max weighted sum = 10 (excluding 2 nulls), score = 3.69, rounds to 4. Liquidity cleared: 2.5M avg vol x $8.94 = $22.4M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Global Net Lease operates with a fundamentally finite mindset, reflecting its troubled governance history under external management and the ongoing turnaround from prior mismanagement. The company's existence was shaped by related-party transactions and self-dealing allegations rather than a purpose-driven vision. While the management internalization and portfolio restructuring represent corrective action, they were forced by activist pressure and market reality rather than inspired by a Just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GNL has no articulated Just Cause beyond generating real estate investment returns. The company's tagline — 'A Net Lease Platform Built to Perform' — describes a business model, not a vision of a better future [2]. GNL's history of governance issues under external management by AR Global, including a 2022-2023 lawsuit alleging an $838 million self-dealing scheme, demonstrates that strategic decisions were driven by management enrichment rather than any higher purpose [3]. The company exists to own and lease buildings — there is no deeper mission.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GNL's governance history reveals a low-trust environment. The former external management structure under AR Global created structural conflicts of interest where management was rewarded with higher fees for growing the asset base rather than shareholder returns, leading to dilutive related-party mergers and a shareholder lawsuit alleging $838M in self-dealing [3]. CEO Mike Weil was appointed only in March 2024, and the entire leadership team is less than two years into their tenure. While the September 2023 management internalization was a positive governance step, the organization is still rebuilding trust from a deeply troubled foundation.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GNL competes in the net lease REIT space against much larger and better-regarded peers including Realty Income, NNN REIT, and STORE Capital, but no evidence was found of management acknowledging these competitors' strengths or using their superior execution as motivation for improvement [1]. The company's competitive positioning is primarily about discount valuation rather than operational superiority.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GNL executed a significant strategic pivot in 2023-2025, internalizing management from AR Global, selling its entire multi-tenant retail portfolio, completing $3.4B in total dispositions, and reducing debt by $2.7B to reposition as a focused single-tenant net lease REIT [1]. This represents meaningful business model transformation. However, the restructuring was largely forced by activist pressure (Blackwells Capital lawsuit) and poor stock performance rather than driven by a forward-looking strategic vision, and the company was pivoting away from past mistakes rather than toward a new opportunity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new leadership team under CEO Mike Weil and Chairman Robert Kauffman executed $3.4B in asset dispositions and $2.7B in debt reduction — decisions that reduced near-term revenue and AFFO (2026 guidance of $0.80-$0.84 vs $0.99 in 2025) in service of long-term balance sheet health and portfolio quality [1]. The management internalization in September 2023 required ending the lucrative external advisory arrangement with AR Global. These were difficult decisions that prioritized long-term viability over short-term metrics. However, these actions were corrective rather than visionary — fixing prior mismanagement rather than building new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GNL offers deep value potential for investors willing to bet on a successful turnaround. The stock trades near $8.95 with an 8.49% dividend yield, and Q2 2026 provided encouraging signs as revenue of $112.5M beat Wall Street expectations, AFFO improved sequentially to $0.22/share from $0.21 in Q1, and management raised the full-year outlook [1]. Gross debt fell to $2.5B (down $621M from Q2 2025) with weighted average interest rate declining to 4.1% from 4.3%, reflecting continued balance sheet repair. The $3.4B in strategic dispositions and $2.7B in debt reduction earned an S&amp;P upgrade to BB+ with notes reaching investment-grade BBB-. The repositioned portfolio of higher-quality single-tenant assets anchored by industry-leading tenants across the US, UK, and Europe should generate more predictable rental income. New leadership under CEO Mike Weil and Chairman Robert Kauffman (co-founder of Fortress Investment Group) brings credible real estate expertise [2].</w:t>
      </w:r>
    </w:p>
    <w:p>
      <w:pPr>
        <w:spacing w:after="120"/>
      </w:pPr>
      <w:r>
        <w:rPr>
          <w:rFonts w:ascii="Calibri" w:hAnsi="Calibri"/>
          <w:b w:val="0"/>
          <w:color w:val="3A4A28"/>
          <w:sz w:val="20"/>
        </w:rPr>
        <w:t>The bear case is severe and multi-dimensional. GAAP earnings remain deeply negative (ROE -5.45%, profit margin -8.72%), and 2026 AFFO guidance of $0.80-$0.84/share represents a 15-19% decline from the $0.99 achieved in 2025, creating risk of yet another dividend cut on top of the three cuts in the past 18 months [1][4]. The five-year dividend growth CAGR of -13.83% reflects a pattern of income destruction that 8.39% current yield cannot offset for total return. Forward P/E of 26.65x on negative GAAP earnings suggests the market prices in eventual recovery but at a premium to current fundamentals. GNL's governance history under AR Global — including the Blackwells Capital lawsuit alleging $838M in self-dealing, dilutive related-party mergers, and external management conflicts of interest — has permanently damaged the company's credibility with institutional investors [3]. Revenue declined 13.08% YoY as asset dispositions reduced rental income, and the proposed Modiv Industrial merger adds integration risk and potential dilution. The sub-$10 stock price and small market cap ($2.2B) limit institutional interest and create liquidity risk during market 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beat expectations and AFFO improved sequentially to $0.22/share, while management raised the full-year outlook — suggesting the post-disposition revenue trough may be forming, with shares rising 5.1% on the report [1]</w:t>
      </w:r>
    </w:p>
    <w:p>
      <w:pPr>
        <w:spacing w:before="40" w:after="40"/>
        <w:ind w:left="283"/>
      </w:pPr>
      <w:r>
        <w:rPr>
          <w:rFonts w:ascii="Calibri" w:hAnsi="Calibri"/>
          <w:b/>
          <w:color w:val="4A6B25"/>
          <w:sz w:val="20"/>
        </w:rPr>
        <w:t xml:space="preserve">2. </w:t>
      </w:r>
      <w:r>
        <w:rPr>
          <w:rFonts w:ascii="Calibri" w:hAnsi="Calibri"/>
          <w:b w:val="0"/>
          <w:color w:val="3A4A28"/>
          <w:sz w:val="20"/>
        </w:rPr>
        <w:t>Continued deleveraging with gross debt down $621M YoY to $2.5B and weighted average interest rate declining to 4.1% positions GNL for lower-cost refinancing and selective acquisitions from an investment-grade-adjacent balance sheet [1]</w:t>
      </w:r>
    </w:p>
    <w:p>
      <w:pPr>
        <w:spacing w:before="40" w:after="40"/>
        <w:ind w:left="283"/>
      </w:pPr>
      <w:r>
        <w:rPr>
          <w:rFonts w:ascii="Calibri" w:hAnsi="Calibri"/>
          <w:b/>
          <w:color w:val="4A6B25"/>
          <w:sz w:val="20"/>
        </w:rPr>
        <w:t xml:space="preserve">3. </w:t>
      </w:r>
      <w:r>
        <w:rPr>
          <w:rFonts w:ascii="Calibri" w:hAnsi="Calibri"/>
          <w:b w:val="0"/>
          <w:color w:val="3A4A28"/>
          <w:sz w:val="20"/>
        </w:rPr>
        <w:t>Deep discount to net lease REIT peers provides revaluation potential if the company demonstrates sustained AFFO growth and dividend stability through 2027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Fourth dividend cut risk — 2026 AFFO guidance of $0.80-$0.84/share barely covers the $0.76/share annual dividend (92-95% AFFO payout), leaving virtually no margin for negative variance before another cut becomes necessary [1][4]</w:t>
      </w:r>
    </w:p>
    <w:p>
      <w:pPr>
        <w:spacing w:before="40" w:after="40"/>
        <w:ind w:left="283"/>
      </w:pPr>
      <w:r>
        <w:rPr>
          <w:rFonts w:ascii="Calibri" w:hAnsi="Calibri"/>
          <w:b/>
          <w:color w:val="4A6B25"/>
          <w:sz w:val="20"/>
        </w:rPr>
        <w:t xml:space="preserve">2. </w:t>
      </w:r>
      <w:r>
        <w:rPr>
          <w:rFonts w:ascii="Calibri" w:hAnsi="Calibri"/>
          <w:b w:val="0"/>
          <w:color w:val="3A4A28"/>
          <w:sz w:val="20"/>
        </w:rPr>
        <w:t>Permanently impaired credibility from AR Global governance scandal — the $838M self-dealing lawsuit, three dividend cuts, and history of dilutive related-party mergers create a trust deficit that limits institutional investor willingness to re-enter the stock [3]</w:t>
      </w:r>
    </w:p>
    <w:p>
      <w:pPr>
        <w:spacing w:before="40" w:after="40"/>
        <w:ind w:left="283"/>
      </w:pPr>
      <w:r>
        <w:rPr>
          <w:rFonts w:ascii="Calibri" w:hAnsi="Calibri"/>
          <w:b/>
          <w:color w:val="4A6B25"/>
          <w:sz w:val="20"/>
        </w:rPr>
        <w:t xml:space="preserve">3. </w:t>
      </w:r>
      <w:r>
        <w:rPr>
          <w:rFonts w:ascii="Calibri" w:hAnsi="Calibri"/>
          <w:b w:val="0"/>
          <w:color w:val="3A4A28"/>
          <w:sz w:val="20"/>
        </w:rPr>
        <w:t>Declining revenue trajectory (-13.08% YoY) as disposed assets reduce rental income faster than replacement acquisitions can offset, with 2026 AFFO expected to decline 15-19% from 2025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GNL owns physical real estate — single-tenant net lease properties across the US, UK, and Europe — that AI structurally cannot displace. The physical buildings, land, and long-term lease contracts represent tangible assets that no software can substitute [1]. However, AI disruption risk exists at the tenant level: if AI displaces or disrupts GNL's tenants' businesses (particularly office and some industrial tenants), those tenants could default on leases or not renew, leaving GNL with vacant properties. The repositioning toward higher-quality single-tenant assets with industry-leading tenants partially mitigates this risk. Analysts have not identified AI as a direct threat to net lease REITs, but the indirect tenant disruption risk prevents an IMMUNE rating. AI Opportunity (0/1): GNL does not generate revenue from AI products or services and has not disclosed any AI-driven operational improvements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Global Net Lease 2025 Annual Results and H1 2026 — completed $3.4B dispositions, reduced debt $2.7B, AFFO $0.99/share (2025), Q1 2026 revenue $109.3M, Q2 2026 revenue $112.5M (beat estimates), Q2 AFFO $0.22/share (up from $0.21 Q1), management raised full-year outlook, gross debt $2.5B (-$621M YoY), February-August 2026</w:t>
      </w:r>
    </w:p>
    <w:p>
      <w:pPr>
        <w:spacing w:before="20" w:after="20"/>
        <w:ind w:left="170"/>
      </w:pPr>
      <w:r>
        <w:rPr>
          <w:rFonts w:ascii="Calibri" w:hAnsi="Calibri"/>
          <w:b/>
          <w:color w:val="4A6B25"/>
          <w:sz w:val="15"/>
        </w:rPr>
        <w:t xml:space="preserve">2. </w:t>
      </w:r>
      <w:r>
        <w:rPr>
          <w:rFonts w:ascii="Calibri" w:hAnsi="Calibri"/>
          <w:b w:val="0"/>
          <w:color w:val="3A4A28"/>
          <w:sz w:val="17"/>
        </w:rPr>
        <w:t>Global Net Lease Leadership — CEO Mike Weil (since March 2024), Chairman Robert Kauffman (Fortress Investment Group co-founder), management internalized September 2023, focused on single-tenant net lease across US/UK/Europe, July 2026</w:t>
      </w:r>
    </w:p>
    <w:p>
      <w:pPr>
        <w:spacing w:before="20" w:after="20"/>
        <w:ind w:left="170"/>
      </w:pPr>
      <w:r>
        <w:rPr>
          <w:rFonts w:ascii="Calibri" w:hAnsi="Calibri"/>
          <w:b/>
          <w:color w:val="4A6B25"/>
          <w:sz w:val="15"/>
        </w:rPr>
        <w:t xml:space="preserve">3. </w:t>
      </w:r>
      <w:r>
        <w:rPr>
          <w:rFonts w:ascii="Calibri" w:hAnsi="Calibri"/>
          <w:b w:val="0"/>
          <w:color w:val="3A4A28"/>
          <w:sz w:val="17"/>
        </w:rPr>
        <w:t>Global Net Lease Governance History — Blackwells Capital lawsuit alleging $838M self-dealing scheme, external management conflicts with AR Global, three dividend cuts in 18 months, management internalization September 2023, 2022-2024</w:t>
      </w:r>
    </w:p>
    <w:p>
      <w:pPr>
        <w:spacing w:before="20" w:after="20"/>
        <w:ind w:left="170"/>
      </w:pPr>
      <w:r>
        <w:rPr>
          <w:rFonts w:ascii="Calibri" w:hAnsi="Calibri"/>
          <w:b/>
          <w:color w:val="4A6B25"/>
          <w:sz w:val="15"/>
        </w:rPr>
        <w:t xml:space="preserve">4. </w:t>
      </w:r>
      <w:r>
        <w:rPr>
          <w:rFonts w:ascii="Calibri" w:hAnsi="Calibri"/>
          <w:b w:val="0"/>
          <w:color w:val="3A4A28"/>
          <w:sz w:val="17"/>
        </w:rPr>
        <w:t>Global Net Lease Valuation and Dividend — stock $8.94, PE -21.14 (negative earnings), Forward PE 26.65, D/E 156.69%, ROE -5.45%, dividend yield 8.39%, $0.76/share annual, 5yr dividend growth CAGR -13.83%,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