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GPGI</w:t>
      </w:r>
      <w:r>
        <w:rPr>
          <w:rFonts w:ascii="Calibri" w:hAnsi="Calibri"/>
          <w:b/>
          <w:color w:val="1A2010"/>
          <w:sz w:val="40"/>
        </w:rPr>
        <w:t xml:space="preserve">  GPGI, Inc.</w:t>
      </w:r>
    </w:p>
    <w:p>
      <w:pPr>
        <w:spacing w:after="120"/>
      </w:pPr>
      <w:r>
        <w:rPr>
          <w:rFonts w:ascii="Calibri" w:hAnsi="Calibri"/>
          <w:b/>
          <w:color w:val="6E8450"/>
          <w:sz w:val="18"/>
        </w:rPr>
        <w:t>GROWTH SLEEVE · 2026-08-31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45</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Metal Fabrication · NYSE · United States</w:t>
      </w:r>
    </w:p>
    <w:p>
      <w:pPr>
        <w:spacing w:after="80"/>
      </w:pPr>
      <w:r>
        <w:rPr>
          <w:rFonts w:ascii="Calibri" w:hAnsi="Calibri"/>
          <w:b w:val="0"/>
          <w:color w:val="3A4A28"/>
          <w:sz w:val="20"/>
        </w:rPr>
        <w:t>GPGI, Inc. (formerly CompoSecure, Inc., rebranded January 2026) is a diversified multi-industry platform operating two segments: CompoSecure (premium metal payment cards, security, and authentication solutions — clients include American Express, JPMorgan Chase, X Money, Robinhood) and Husky Technologies (engineered injection molding systems for food/beverage, medical devices, and packaging). The company completed its $7.4B business combination with Husky Technologies in January 2026 under Executive Chairman Dave Cote's (former Honeywell CEO) Resolute Operating System. Q2 2026 revenue of $421.2M with CompoSecure posting record results (+11.7% sales growth) while Husky declined (-9.2%). FY2026 guidance: $1.95-2.1B revenue, $550-610M adjusted EBITDA. The company faces a securities fraud class action with a September 2026 lead plaintiff deadline. Headquartered in Somerset, New Jersey.</w:t>
      </w:r>
    </w:p>
    <w:p>
      <w:r>
        <w:rPr>
          <w:rFonts w:ascii="Calibri" w:hAnsi="Calibri"/>
          <w:b/>
          <w:color w:val="6E8450"/>
          <w:sz w:val="18"/>
        </w:rPr>
        <w:t>977 Employees · https://gpgi.com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GPGI executed a transformative $7.4B business combination with Husky Technologies in January 2026, creating a diversified industrial platform from a single-segment metal card business [1][2]. Q1 2026 saw CompoSecure deliver record-quarter performance with adjusted EBITDA up 36.8% and new high-profile program wins including American Express Graphite, X Money, Robinhood Platinum, and Revolut Audi F1 [1]. AI Deployment (0/2): No evidence of AI-powered products or quantified AI-driven savings across either segment — both businesses are physical manufacturing operations. Market Share (2/2): CompoSecure is the dominant provider of premium metal payment cards globally, winning programs with major banks and fintechs; Husky Technologies holds leading market share in PET injection molding systems for food, beverage, and medical packaging [2]. Pipeline (1/2): CompoSecure's 2026 guidance of $510M non-GAAP net sales with new program wins provides clear growth visibility, though Husky's 16% order decline creates offsetting headwind [1]. R&amp;D Intensity (1/1): Husky invests in next-generation precision molding innovation and CompoSecure's Arculus digital authentication platform represents meaningful product development spend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GPGI's name literally stands for 'Great Positions in Good Industries' — a financial engineering philosophy centered on acquiring market-leading businesses at attractive prices, not a purposeful vision of a better future [3]. Dave Cote's Resolute Operating System emphasizes operational excellence, but the company's stated purpose is compounding returns, not advancing a cause. Community Impact (1/2): Husky Technologies emphasizes safety culture at manufacturing sites and CompoSecure maintains basic community engagement, but no specific foundation, charitable programs, or dollar amounts for philanthropic investment were identified in public disclosures. Employee Retention (0/2): Three senior leadership departures in early 2026 — Husky CEO, Husky CFO, and CompoSecure CEO Jon Wilk (replaced by Graham Robinson) — signal significant organizational instability during the critical merger integration phase [3]. No employee satisfaction or retention data available for this 977-person company. Insider Buying (0/2): While Dave Cote and insiders hold approximately 21% of shares, the Jehoshaphat Research short report alleged a 'bizarre incentive structure' tied to the Resolute Holdings management fee arrangement, and a Robbins Geller securities investigation was announced following the May 2026 earnings disclosure [4][5]. No specific open-market insider purchases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with significant data limitations due to January 2026 Husky merger distorting reported metrics. Q2 2026 consolidated revenue was $421.2M with EPS of $0.17 beating estimates of $0.14, as CompoSecure posted record sales (+11.7%) and EBITDA expansion (+13.6%) while Husky declined (-9.2% revenue, -22.6% EBITDA) [1]. GAAP profitability remains deeply negative from acquisition charges. ROE of -25.92% reflects massive GAAP losses from merger accounting. Forward P/E widened from 17.70 to 22.98 as analysts lowered estimates amid Husky headwinds and escalating legal risks. FY2026 guidance of $1,950-2,100M net sales and $550-610M adjusted EBITDA was cut 10%+ from initial targets [1]. Securities fraud class action lawsuits with September 2026 lead plaintiff deadlines add governance uncertainty [5]. Liquidity floor cleared: 1.9M avg volume x $16.75 = $32.2M daily.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GPGI operates with a decidedly finite mindset. The company's name — 'Great Positions in Good Industries' — is a financial playbook, not a Just Cause. Executive Chairman Dave Cote's strategy of acquiring market-leading businesses and applying the Resolute Operating System is effective operational engineering but lacks the purpose-driven foundation Sinek requires. Three senior leadership departures in early 2026, a securities investigation, a short seller report alleging a 'fundamentally flawed financial scheme,' and a lawsuit over the Nevada reincorporation create a governance picture antithetical to infinite game principles.</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No Just Cause evident. GPGI exists to compound shareholder returns through acquiring 'great positions in good industries' — the company's name IS its purpose, and that purpose is explicitly financial [3]. The Resolute Operating System emphasizes operational excellence and cultural transformation, but these are means to financial ends. Jehoshaphat Research's characterization of the company as a 'fundamentally flawed financial scheme' reinforces the perception that the strategy serves insiders' financial interests rather than advancing any vision of a better future [4].</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Three senior leadership departures in the first months of GPGI's existence — Husky CEO, Husky CFO, and CompoSecure CEO Jon Wilk (replaced by Graham Robinson) — signal significant organizational instability during the most critical integration phase [3]. The Resolute Holdings management fee structure creates a related-party governance dynamic that concentrates control. The Robbins Geller securities investigation and Jehoshaphat short report alleging 'bizarre incentive structures' suggest potential misalignment between management and shareholders that undermines organizational trust [4][5].</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management acknowledging competitors' strengths or using rivalry as motivation for improvement. GPGI's narrative focuses on acquiring market-leading positions rather than learning from competitors in metal payment cards (CPI Card Group) or injection molding (Milacron, ENGEL, Nidec). The competitive framing is explicitly about dominating good industries rather than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transformation from single-segment CompoSecure (premium metal payment cards, ~$400M revenue) to a diversified industrial platform via the $7.4B Husky Technologies acquisition represents meaningful strategic evolution that fundamentally changed the company's scope, market presence, and revenue base [1][2]. However, this was an acquisition-driven financial engineering pivot, not a purpose-driven reinvention — the company applied a conglomerate playbook rather than abandoning a business model in service of a cause.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$7.4B Husky acquisition was undeniably bold — transforming a ~$400M metal card company into a $2B+ diversified industrial required significant conviction, capital commitment, and execution risk tolerance [1][2]. Dave Cote's willingness to stake his Honeywell legacy on this transformation demonstrates personal courage. However, the subsequent guidance cut (from $2.18-2.23B to $1.95-2.10B revenue), Husky's 16% order decline, and the emergence of securities investigations raise questions about whether the boldness was accompanied by adequate diligence.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GPGI represents a high-risk industrial transformation led by Dave Cote's proven Honeywell playbook. CompoSecure continued its record trajectory in Q2 2026 with 11.7% sales growth and 13.6% EBITDA expansion, beating EPS estimates of $0.14 with $0.17 [1]. The company guided FY2026 adjusted EBITDA of $550-610M with margins expanding 120bps to 27-29%. CompoSecure's dominant position in premium metal payment cards — with American Express, JPMorgan, X Money, Robinhood, and Revolut as clients — creates a durable franchise with low double-digit organic growth. The debt-free balance sheet with $127.4M cash provides financial flexibility, and the stock at $16.75 with ~22.98x forward P/E offers moderate valuation for the platform's adjusted earnings trajectory.</w:t>
      </w:r>
    </w:p>
    <w:p>
      <w:pPr>
        <w:spacing w:after="120"/>
      </w:pPr>
      <w:r>
        <w:rPr>
          <w:rFonts w:ascii="Calibri" w:hAnsi="Calibri"/>
          <w:b w:val="0"/>
          <w:color w:val="3A4A28"/>
          <w:sz w:val="20"/>
        </w:rPr>
        <w:t>The bear case is severe and multi-faceted. Husky Technologies' Q1 2026 performance was deeply concerning — pro forma net sales declined 5%, adjusted EBITDA plunged 40%, and orders fell 16% YoY as oil price volatility and tariffs drove customer delays and cancellations [1]. FY2026 guidance was cut by 10%+ from $2,180-2,230M to $1,950-2,100M in revenue and $620-650M to $550-610M in EBITDA. The GAAP net loss of $235M reflects massive acquisition charges. Governance concerns are escalating: Jehoshaphat Research disclosed a short position calling GPGI a 'fundamentally flawed financial scheme' with 'bizarre incentive structures,' Robbins Geller announced a securities investigation after the May 2026 earnings disclosure triggered a 26% stock decline, and the company faces a lawsuit over its Delaware-to-Nevada reincorporation that allegedly limits shareholder rights [4][5]. Three senior leadership departures in early 2026 during the critical merger integration period compound execution risk.</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CompoSecure continuing record-quarter trajectory with 36.5% EBITDA margins and expanding program wins with major banks and fintechs, potentially exceeding $510M 2026 revenue guidance</w:t>
      </w:r>
    </w:p>
    <w:p>
      <w:pPr>
        <w:spacing w:before="40" w:after="40"/>
        <w:ind w:left="283"/>
      </w:pPr>
      <w:r>
        <w:rPr>
          <w:rFonts w:ascii="Calibri" w:hAnsi="Calibri"/>
          <w:b/>
          <w:color w:val="4A6B25"/>
          <w:sz w:val="20"/>
        </w:rPr>
        <w:t xml:space="preserve">2. </w:t>
      </w:r>
      <w:r>
        <w:rPr>
          <w:rFonts w:ascii="Calibri" w:hAnsi="Calibri"/>
          <w:b w:val="0"/>
          <w:color w:val="3A4A28"/>
          <w:sz w:val="20"/>
        </w:rPr>
        <w:t>Husky Technologies order recovery in H2 2026 as customer delays resolve and the Resolute Operating System drives cost efficiencies, bridging the gap toward $550-610M consolidated EBITDA guidance</w:t>
      </w:r>
    </w:p>
    <w:p>
      <w:pPr>
        <w:spacing w:before="40" w:after="40"/>
        <w:ind w:left="283"/>
      </w:pPr>
      <w:r>
        <w:rPr>
          <w:rFonts w:ascii="Calibri" w:hAnsi="Calibri"/>
          <w:b/>
          <w:color w:val="4A6B25"/>
          <w:sz w:val="20"/>
        </w:rPr>
        <w:t xml:space="preserve">3. </w:t>
      </w:r>
      <w:r>
        <w:rPr>
          <w:rFonts w:ascii="Calibri" w:hAnsi="Calibri"/>
          <w:b w:val="0"/>
          <w:color w:val="3A4A28"/>
          <w:sz w:val="20"/>
        </w:rPr>
        <w:t>Successful integration and full-year pro forma reporting providing financial transparency that could alleviate market concerns about leverage, incentive structures, and true operating performance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Governance red flags are multiplying — Jehoshaphat Research short report alleging 'fundamentally flawed financial scheme,' Robbins Geller securities investigation, Nevada reincorporation lawsuit, and the Resolute Holdings management fee structure create a governance profile that institutional investors may avoid [4][5]</w:t>
      </w:r>
    </w:p>
    <w:p>
      <w:pPr>
        <w:spacing w:before="40" w:after="40"/>
        <w:ind w:left="283"/>
      </w:pPr>
      <w:r>
        <w:rPr>
          <w:rFonts w:ascii="Calibri" w:hAnsi="Calibri"/>
          <w:b/>
          <w:color w:val="4A6B25"/>
          <w:sz w:val="20"/>
        </w:rPr>
        <w:t xml:space="preserve">2. </w:t>
      </w:r>
      <w:r>
        <w:rPr>
          <w:rFonts w:ascii="Calibri" w:hAnsi="Calibri"/>
          <w:b w:val="0"/>
          <w:color w:val="3A4A28"/>
          <w:sz w:val="20"/>
        </w:rPr>
        <w:t>Husky Technologies integration in distress — 16% order decline, 40% EBITDA drop, 10%+ consolidated guidance cut, and three senior leadership departures in early 2026 suggest the $7.4B acquisition may be underperforming expectations in its first year [1]</w:t>
      </w:r>
    </w:p>
    <w:p>
      <w:pPr>
        <w:spacing w:before="40" w:after="40"/>
        <w:ind w:left="283"/>
      </w:pPr>
      <w:r>
        <w:rPr>
          <w:rFonts w:ascii="Calibri" w:hAnsi="Calibri"/>
          <w:b/>
          <w:color w:val="4A6B25"/>
          <w:sz w:val="20"/>
        </w:rPr>
        <w:t xml:space="preserve">3. </w:t>
      </w:r>
      <w:r>
        <w:rPr>
          <w:rFonts w:ascii="Calibri" w:hAnsi="Calibri"/>
          <w:b w:val="0"/>
          <w:color w:val="3A4A28"/>
          <w:sz w:val="20"/>
        </w:rPr>
        <w:t>GAAP net loss of $235M in Q1 with ROE of -25.92% and deeply negative profit margins obscure true operating performance; acquisition financing terms are not fully transparent, and debt load from the $7.4B merger may constrain financial flexibility if Husky's cyclical downturn extends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GPGI's core businesses are deeply physical-world manufacturing operations that AI structurally cannot displace [2]. CompoSecure fabricates precision metal payment cards using proprietary metallurgy and manufacturing processes — premium metal cards exist precisely because of their physical form factor and tactile quality, which AI cannot replicate. Husky Technologies manufactures engineered injection molding systems requiring specialized metallurgy, precision engineering, and physical installation for food/beverage packaging and medical device production. Both businesses require material science expertise, factory infrastructure, and regulatory compliance that AI cannot substitute. No analysts have flagged AI as a substitution risk for either segment. AI Opportunity (0/1): Neither segment generates AI-related revenue; no AI products, services, or quantified efficiency gains have been disclosed.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GPGI Q1-Q2 2026 Results — Q2 revenue $421.2M, EPS $0.17 (beat $0.14), CompoSecure record sales (+11.7%), Husky decline (-9.2%); Q1 $407.8M net sales, $88.8M adjusted EBITDA, -$235M GAAP net loss, globenewswire.com and Investing.com, May-August 2026</w:t>
      </w:r>
    </w:p>
    <w:p>
      <w:pPr>
        <w:spacing w:before="20" w:after="20"/>
        <w:ind w:left="170"/>
      </w:pPr>
      <w:r>
        <w:rPr>
          <w:rFonts w:ascii="Calibri" w:hAnsi="Calibri"/>
          <w:b/>
          <w:color w:val="4A6B25"/>
          <w:sz w:val="15"/>
        </w:rPr>
        <w:t xml:space="preserve">2. </w:t>
      </w:r>
      <w:r>
        <w:rPr>
          <w:rFonts w:ascii="Calibri" w:hAnsi="Calibri"/>
          <w:b w:val="0"/>
          <w:color w:val="3A4A28"/>
          <w:sz w:val="17"/>
        </w:rPr>
        <w:t>GPGI Business Combination — CompoSecure $7.4B merger with Husky Technologies, rebrand from CMPO, January 2026</w:t>
      </w:r>
    </w:p>
    <w:p>
      <w:pPr>
        <w:spacing w:before="20" w:after="20"/>
        <w:ind w:left="170"/>
      </w:pPr>
      <w:r>
        <w:rPr>
          <w:rFonts w:ascii="Calibri" w:hAnsi="Calibri"/>
          <w:b/>
          <w:color w:val="4A6B25"/>
          <w:sz w:val="15"/>
        </w:rPr>
        <w:t xml:space="preserve">3. </w:t>
      </w:r>
      <w:r>
        <w:rPr>
          <w:rFonts w:ascii="Calibri" w:hAnsi="Calibri"/>
          <w:b w:val="0"/>
          <w:color w:val="3A4A28"/>
          <w:sz w:val="17"/>
        </w:rPr>
        <w:t>GPGI Leadership Transitions — Graham Robinson appointed CompoSecure CEO, Husky CEO and CFO departures, Dave Cote Executive Chairman, January 2026</w:t>
      </w:r>
    </w:p>
    <w:p>
      <w:pPr>
        <w:spacing w:before="20" w:after="20"/>
        <w:ind w:left="170"/>
      </w:pPr>
      <w:r>
        <w:rPr>
          <w:rFonts w:ascii="Calibri" w:hAnsi="Calibri"/>
          <w:b/>
          <w:color w:val="4A6B25"/>
          <w:sz w:val="15"/>
        </w:rPr>
        <w:t xml:space="preserve">4. </w:t>
      </w:r>
      <w:r>
        <w:rPr>
          <w:rFonts w:ascii="Calibri" w:hAnsi="Calibri"/>
          <w:b w:val="0"/>
          <w:color w:val="3A4A28"/>
          <w:sz w:val="17"/>
        </w:rPr>
        <w:t>Jehoshaphat Research — Short position disclosed, called GPGI 'fundamentally flawed financial scheme' with 'bizarre incentive structures,' 2026</w:t>
      </w:r>
    </w:p>
    <w:p>
      <w:pPr>
        <w:spacing w:before="20" w:after="20"/>
        <w:ind w:left="170"/>
      </w:pPr>
      <w:r>
        <w:rPr>
          <w:rFonts w:ascii="Calibri" w:hAnsi="Calibri"/>
          <w:b/>
          <w:color w:val="4A6B25"/>
          <w:sz w:val="15"/>
        </w:rPr>
        <w:t xml:space="preserve">5. </w:t>
      </w:r>
      <w:r>
        <w:rPr>
          <w:rFonts w:ascii="Calibri" w:hAnsi="Calibri"/>
          <w:b w:val="0"/>
          <w:color w:val="3A4A28"/>
          <w:sz w:val="17"/>
        </w:rPr>
        <w:t>Securities Fraud Class Action — Multiple law firms (Glancy Prongay, Kessler Topaz, Kirby McInerney, Johnson Fistel) filing class action alleging misleading statements about Husky acquisition value and management-fee arrangement with Resolute Holdings, September 14-15 lead plaintiff deadlines, BusinessWire/GlobeNewswire,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