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GPK</w:t>
      </w:r>
      <w:r>
        <w:rPr>
          <w:rFonts w:ascii="Calibri" w:hAnsi="Calibri"/>
          <w:b/>
          <w:color w:val="1A2010"/>
          <w:sz w:val="40"/>
        </w:rPr>
        <w:t xml:space="preserve">  Graphic Packaging Holding Company</w:t>
      </w:r>
    </w:p>
    <w:p>
      <w:pPr>
        <w:spacing w:after="120"/>
      </w:pPr>
      <w:r>
        <w:rPr>
          <w:rFonts w:ascii="Calibri" w:hAnsi="Calibri"/>
          <w:b/>
          <w:color w:val="6E8450"/>
          <w:sz w:val="18"/>
        </w:rPr>
        <w:t>DIVIDEND SLEEVE · 2026-10-15 · Inspire: 57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Packaging &amp; Containers · NYSE · United States</w:t>
      </w:r>
    </w:p>
    <w:p>
      <w:pPr>
        <w:spacing w:after="80"/>
      </w:pPr>
      <w:r>
        <w:rPr>
          <w:rFonts w:ascii="Calibri" w:hAnsi="Calibri"/>
          <w:b w:val="0"/>
          <w:color w:val="3A4A28"/>
          <w:sz w:val="20"/>
        </w:rPr>
        <w:t>Graphic Packaging Holding Company is the world's largest manufacturer of fiber-based consumer packaging, producing folding cartons, coated recycled board, unbleached paperboard, and microwave packaging for hundreds of globally recognized brands. Following the $1.45B AR Packaging acquisition in 2022, GPK operates globally with a focus on replacing plastic packaging with renewable fiber-based alternatives. Q2 2026 revenue was $2.19B (-0.7% YoY) with adjusted EPS of $0.14; FY2026 guidance was narrowed to revenue of $8.40-$8.60B and adjusted EPS lowered to $0.65-$0.90 (from $0.75-$1.15) amid $150M in inflationary headwinds. New CEO Robbert Rietbroek (ex-PepsiCo, Kimberly-Clark) took over January 2026. Founded 1888, headquartered in Atlanta, Georgia.</w:t>
      </w:r>
    </w:p>
    <w:p>
      <w:r>
        <w:rPr>
          <w:rFonts w:ascii="Calibri" w:hAnsi="Calibri"/>
          <w:b/>
          <w:color w:val="6E8450"/>
          <w:sz w:val="18"/>
        </w:rPr>
        <w:t>23,000 Employees · https://www.graphicpkg.com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GPK has executed a series of acquisitions to consolidate its position — the $1.45B AR Packaging acquisition in 2022 established GPK as the world's largest fiber-based consumer packaging company [1]. However, the core business model — manufacturing paperboard packaging for consumer brands — has remained fundamentally unchanged. The plastic-to-fiber substitution trend is a meaningful growth opportunity but evolutionary, not transformative. AI Deployment (0/2): No AI deployment or AI-driven cost savings disclosed in 2026 earnings or public communications. The company operates a traditional manufacturing business with no visible AI product or process innovation [2]. Market Share (2/2): GPK is the world's largest manufacturer of fiber-based consumer packaging, serving major global brands including Nestle, PepsiCo, and General Mills [1]. Dominant position in folding cartons and coated recycled board in North America with significant scale advantages in raw material sourcing and integrated manufacturing. Pipeline (1/2): Vision 2030 strategy targets expansion into sustainable packaging alternatives to plastics and foam. New CEO Rietbroek brings consumer brand expertise to accelerate innovation. Capital spending dropping from $935M (2025) to $450M (2026) as major CRB capacity investments complete [1]. R&amp;D Intensity (1/1): GPK invests meaningfully in packaging design innovation and sustainable materials development above packaging industry norms, with patents in next-generation fiber-based solutions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'Inspired Packaging. A World of Difference.' with Vision 2030 connecting GPK's work to sustainability — the mission is specific to fiber-based packaging as a plastic alternative, but reads as marketing positioning rather than a deeply distinctive cause [3]. Community Impact (1/2): GPK publishes ESG reports with sustainability targets including Net Zero by 2050, though the CSO departure coinciding with the 2025 sustainability report raises execution questions [3]. The core business inherently supports environmental sustainability by providing alternatives to single-use plastics. Employee Retention (1/2): 23,000 employees with Vision 2030 naming culture as a strategic pillar. Former CEO Doss served 9 years (2016-2025) with orderly transition to Rietbroek demonstrating organizational stability [2]. No specific retention metrics available. Insider Buying (2/2): Meaningful net insider buying in early 2026 — CEO Rietbroek purchased 44,300 shares ($501K), director Hagemann bought 14,000 shares ($154K), and director Stafeil bought 16,261 shares ($182K) — multiple executives buying with personal funds at depressed prices signals genuine long-term conviction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GPK's standout metric is its Forward P/E of 8.23x, deeply below the 20x target (scoring 1.0), reflecting extreme market pessimism about near-term earnings recovery after a ~24% stock decline since August [4]. D/E of 176% is elevated from the AR Packaging acquisition (scoring 0.54) [4]. ROE of 6.01% is below the 15% target (scoring 0.40), compressed by leverage and inflationary margin pressure. Profit margin of 2.25% is the largest drag (scoring 0.11 against 20% target) — packaging is structurally low-margin [1]. Revenue growth YoY of -0.7% scores 0.64, and 5-year revenue CAGR of ~4.0% (including AR Packaging acquisition) scores 0.60 [1]. Dividend metrics provide significant ballast: ~12 consecutive years of payments (scoring 1.0 at 2x weight), 5-year dividend growth CAGR of ~8% (scoring 1.0 at 2x weight), payout ratio of 66.7% (scoring 0.56), and ~4 consecutive years of growth (scoring 0.40) [4]. Weighted sum 8.25/12, rounded to 7. Liquidity floor cleared at ~$48M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GPK shows some positive governance characteristics — orderly CEO succession and meaningful insider buying at depressed prices signal leadership commitment — but fundamentally operates with a finite mindset focused on quarterly EBITDA targets, leverage ratios, and cost restructuring. The 138-year company history demonstrates endurance but the business model has not undergone transformative reinvention. The Vision 2030 sustainability strategy provides directional purpose but is industry-standard. The recent EPS guidance cut from $0.75-$1.15 to $0.65-$0.90 and CSO departure create tension with long-term vision narratives.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GPK's purpose around sustainable packaging and plastic alternatives connects to genuine environmental benefits, but 'Inspired Packaging. A World of Difference.' reads as a marketing tagline rather than a Just Cause that shapes strategic decisions [3]. Vision 2030 sustainability commitments (Net Zero by 2050, circularity goals) show intentionality but are industry-standard. The CSO departure on the same day as the sustainability report publication raises questions about organizational commitment to the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orderly CEO succession from Michael Doss (9 years) to Robbert Rietbroek demonstrates organizational stability and leadership planning [2]. GPK employs 23,000 people with Vision 2030 naming culture as a strategic pillar. However, Q1 2026 restructuring charges and workforce reduction, combined with the abrupt CSO departure, create near-term organizational disruption and potential trust erosion.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GPK positions itself in the context of the broader packaging industry — competing against plastic, foam, and bleached paperboard — and frames its competitive advantage around sustainability and innovation rather than 'beating' specific competitors [3]. New CEO Rietbroek's background at PepsiCo and Kimberly-Clark brings customer-side perspective, suggesting a learning-oriented competitive approach. The company focuses on offering 'better alternatives'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GPK has been a fiber-based packaging manufacturer for 138 years and has not undergone a transformative strategic pivot. The core business model — manufacturing paperboard packaging for consumer brands — remains fundamentally unchanged [1]. Acquisitions (AR Packaging) have been consolidation within the same industry rather than existential reinventions. The sustainability pivot toward plastic alternatives is meaningful but incremental, not the kind of business model transformation Sinek describes.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GPK invested $935M in capital spending in 2025 — exceeding its current $2.5B market cap — to build long-term manufacturing capacity, demonstrating willingness to invest heavily through margin compression [1]. New CEO Rietbroek's insider purchase of 44,300 shares ($501K) at depressed prices shows personal conviction [4]. However, the company's response to $150M in inflationary headwinds has been primarily defensive (cost cuts, guidance management, EPS guidance reduction) rather than offensive strategic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GPK at 8.2x forward earnings offers deep value in the world's largest fiber-based consumer packaging franchise, trading well below book value after a ~24% decline from $10.96 to $8.38 since August [4]. The stock has fallen further than earnings, creating a compelling entry if management executes on the $85M structural cost savings program. Capital spending dropping from $935M (2025) to $450M (2026) as major CRB capacity investments complete should drive a significant free cash flow inflection supporting both deleveraging and the 5.24% dividend yield with ~8% 5-year growth CAGR [1]. Multiple insider purchases by CEO Rietbroek ($501K), director Hagemann ($154K), and director Stafeil ($182K) at higher prices signal leadership conviction [4]. The secular shift from plastic to fiber-based packaging provides a structural volume tailwind as global regulations increasingly restrict single-use plastics. The Inspire Impact Score of 57 (ALIGNED) with no negative attributions is a strong positive for faith-based investors.</w:t>
      </w:r>
    </w:p>
    <w:p>
      <w:pPr>
        <w:spacing w:after="120"/>
      </w:pPr>
      <w:r>
        <w:rPr>
          <w:rFonts w:ascii="Calibri" w:hAnsi="Calibri"/>
          <w:b w:val="0"/>
          <w:color w:val="3A4A28"/>
          <w:sz w:val="20"/>
        </w:rPr>
        <w:t>The bear case centers on margin deterioration, high leverage, and stagnating revenue. Profit margin of 2.25% and ROE of 6.01% reflect thin returns on significant invested capital — FY2026 adjusted EPS guidance was cut from $0.75-$1.15 to $0.65-$0.90, a 22% midpoint reduction signaling worsening profitability [1][4]. D/E of 176% with substantial debt creates refinancing risk in an elevated interest rate environment, and the payout ratio has risen to 66.7% as earnings declined while dividends grew. Revenue has declined from the $9.44B peak in 2022 to $8.6B in 2025 — Q2 2026 revenue of $2.19B was down 0.7% YoY, and full-year guidance of $8.40-$8.60B suggests the decline continues [1]. The $150M inflationary headwind is only partially offset by $85M in structural cost savings. The CSO departure coinciding with the sustainability report publication undermines the ESG narrative. The PEG of 3.33 suggests the market sees limited earnings growth potential despite the cheap forward multiple.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Capital spending dropping from $935M (2025) to $450M (2026) as major CRB capacity investments complete, driving a significant free cash flow inflection that could support accelerated deleveraging and sustain the 5.24% dividend yield [1]</w:t>
      </w:r>
    </w:p>
    <w:p>
      <w:pPr>
        <w:spacing w:before="40" w:after="40"/>
        <w:ind w:left="283"/>
      </w:pPr>
      <w:r>
        <w:rPr>
          <w:rFonts w:ascii="Calibri" w:hAnsi="Calibri"/>
          <w:b/>
          <w:color w:val="4A6B25"/>
          <w:sz w:val="20"/>
        </w:rPr>
        <w:t xml:space="preserve">2. </w:t>
      </w:r>
      <w:r>
        <w:rPr>
          <w:rFonts w:ascii="Calibri" w:hAnsi="Calibri"/>
          <w:b w:val="0"/>
          <w:color w:val="3A4A28"/>
          <w:sz w:val="20"/>
        </w:rPr>
        <w:t>Secular plastic-to-fiber packaging substitution trend gaining momentum as regulatory pressure and consumer preference shift globally, creating structural volume growth for GPK's core fiber-based products [3]</w:t>
      </w:r>
    </w:p>
    <w:p>
      <w:pPr>
        <w:spacing w:before="40" w:after="40"/>
        <w:ind w:left="283"/>
      </w:pPr>
      <w:r>
        <w:rPr>
          <w:rFonts w:ascii="Calibri" w:hAnsi="Calibri"/>
          <w:b/>
          <w:color w:val="4A6B25"/>
          <w:sz w:val="20"/>
        </w:rPr>
        <w:t xml:space="preserve">3. </w:t>
      </w:r>
      <w:r>
        <w:rPr>
          <w:rFonts w:ascii="Calibri" w:hAnsi="Calibri"/>
          <w:b w:val="0"/>
          <w:color w:val="3A4A28"/>
          <w:sz w:val="20"/>
        </w:rPr>
        <w:t>New CEO Robbert Rietbroek (ex-PepsiCo, Kimberly-Clark) bringing consumer brand expertise to accelerate packaging innovation and organic growth, with meaningful personal insider buying ($501K) signaling conviction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at D/E of 176% with payout ratio rising to 66.7% limits financial flexibility — further margin compression or revenue decline could force dividend reduction or trigger covenant pressure [4]</w:t>
      </w:r>
    </w:p>
    <w:p>
      <w:pPr>
        <w:spacing w:before="40" w:after="40"/>
        <w:ind w:left="283"/>
      </w:pPr>
      <w:r>
        <w:rPr>
          <w:rFonts w:ascii="Calibri" w:hAnsi="Calibri"/>
          <w:b/>
          <w:color w:val="4A6B25"/>
          <w:sz w:val="20"/>
        </w:rPr>
        <w:t xml:space="preserve">2. </w:t>
      </w:r>
      <w:r>
        <w:rPr>
          <w:rFonts w:ascii="Calibri" w:hAnsi="Calibri"/>
          <w:b w:val="0"/>
          <w:color w:val="3A4A28"/>
          <w:sz w:val="20"/>
        </w:rPr>
        <w:t>Revenue declining from $9.44B peak (2022) to ~$8.5B run rate has not been reversed despite capacity investments, with FY2026 EPS guidance cut 22% at midpoint ($0.65-$0.90, down from $0.75-$1.15) signaling worsening profitability [1]</w:t>
      </w:r>
    </w:p>
    <w:p>
      <w:pPr>
        <w:spacing w:before="40" w:after="40"/>
        <w:ind w:left="283"/>
      </w:pPr>
      <w:r>
        <w:rPr>
          <w:rFonts w:ascii="Calibri" w:hAnsi="Calibri"/>
          <w:b/>
          <w:color w:val="4A6B25"/>
          <w:sz w:val="20"/>
        </w:rPr>
        <w:t xml:space="preserve">3. </w:t>
      </w:r>
      <w:r>
        <w:rPr>
          <w:rFonts w:ascii="Calibri" w:hAnsi="Calibri"/>
          <w:b w:val="0"/>
          <w:color w:val="3A4A28"/>
          <w:sz w:val="20"/>
        </w:rPr>
        <w:t>Thin 2.25% net profit margin in a capital-intensive manufacturing business leaves minimal buffer — the $150M inflationary headwind exceeding $85M in cost savings demonstrates structural vulnerability to input cost pressure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GPK's business is highly immune to AI disruption. Manufacturing fiber-based packaging involves physical-world operations — paper mills, converting plants, supply chain logistics, and raw material sourcing — that AI structurally cannot replace [1]. Products are physical objects (folding cartons, paperboard, food packaging) consumed by end users, and relationships with major CPG brands involve deep manufacturing integration, co-located facilities, and long-term supply contracts with high switching costs. AI may even increase demand for packaging through e-commerce growth. The only indirect AI exposure is that AI-optimized supply chains at customer companies could theoretically reduce packaging waste [2]. AI Opportunity (0/1): GPK does not generate revenue from AI products or services. No disclosed AI strategy or quantifiable AI-driven operational improvements in public filings.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Graphic Packaging Q2 2026 Earnings Release — Revenue $2.19B (-0.7% YoY), Adjusted EPS $0.14, FY2026 Guidance Revenue $8.40-$8.60B, Adjusted EPS Lowered to $0.65-$0.90 (from $0.75-$1.15), SEC Form 8-K, July 2026</w:t>
      </w:r>
    </w:p>
    <w:p>
      <w:pPr>
        <w:spacing w:before="20" w:after="20"/>
        <w:ind w:left="170"/>
      </w:pPr>
      <w:r>
        <w:rPr>
          <w:rFonts w:ascii="Calibri" w:hAnsi="Calibri"/>
          <w:b/>
          <w:color w:val="4A6B25"/>
          <w:sz w:val="15"/>
        </w:rPr>
        <w:t xml:space="preserve">2. </w:t>
      </w:r>
      <w:r>
        <w:rPr>
          <w:rFonts w:ascii="Calibri" w:hAnsi="Calibri"/>
          <w:b w:val="0"/>
          <w:color w:val="3A4A28"/>
          <w:sz w:val="17"/>
        </w:rPr>
        <w:t>Graphic Packaging CEO Transition — Robbert Rietbroek (January 2026, ex-PepsiCo/Primo Water/Kimberly-Clark), Michael Doss departure after 9 years, Vision 2030, PackagingPortal/StreetInsider, December 2025</w:t>
      </w:r>
    </w:p>
    <w:p>
      <w:pPr>
        <w:spacing w:before="20" w:after="20"/>
        <w:ind w:left="170"/>
      </w:pPr>
      <w:r>
        <w:rPr>
          <w:rFonts w:ascii="Calibri" w:hAnsi="Calibri"/>
          <w:b/>
          <w:color w:val="4A6B25"/>
          <w:sz w:val="15"/>
        </w:rPr>
        <w:t xml:space="preserve">3. </w:t>
      </w:r>
      <w:r>
        <w:rPr>
          <w:rFonts w:ascii="Calibri" w:hAnsi="Calibri"/>
          <w:b w:val="0"/>
          <w:color w:val="3A4A28"/>
          <w:sz w:val="17"/>
        </w:rPr>
        <w:t>Graphic Packaging ESG and Sustainability — Net Zero 2050 Goal, CSO Departure, Mixed ESG Progress Report, Sustainalytics ESG Risk Rating 18 (Low), Fiber-over-Plastic Strategy, KnowESG/GraphicPkg.com, 2024-2026</w:t>
      </w:r>
    </w:p>
    <w:p>
      <w:pPr>
        <w:spacing w:before="20" w:after="20"/>
        <w:ind w:left="170"/>
      </w:pPr>
      <w:r>
        <w:rPr>
          <w:rFonts w:ascii="Calibri" w:hAnsi="Calibri"/>
          <w:b/>
          <w:color w:val="4A6B25"/>
          <w:sz w:val="15"/>
        </w:rPr>
        <w:t xml:space="preserve">4. </w:t>
      </w:r>
      <w:r>
        <w:rPr>
          <w:rFonts w:ascii="Calibri" w:hAnsi="Calibri"/>
          <w:b w:val="0"/>
          <w:color w:val="3A4A28"/>
          <w:sz w:val="17"/>
        </w:rPr>
        <w:t>Graphic Packaging Insider Purchases — CEO Rietbroek 44,300 shares ($501K), Directors Hagemann ($154K) and Stafeil ($182K) at depressed prices, SEC Form 4, March 2026; Yahoo Finance: Stock Price $8.38, Forward P/E 8.23, ROE 6.01%, D/E 176%, Div Yield 5.24%,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