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GRAB</w:t>
      </w:r>
      <w:r>
        <w:rPr>
          <w:rFonts w:ascii="Calibri" w:hAnsi="Calibri"/>
          <w:b/>
          <w:color w:val="1A2010"/>
          <w:sz w:val="40"/>
        </w:rPr>
        <w:t xml:space="preserve">  Grab Holdings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47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NMS · Singapore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Grab is Southeast Asia's leading superapp, operating Mobility (ride-hailing), Deliveries (food, grocery, parcel) and Financial Services (payments, lending, insurance, digital banking) across eight countries. Q2 2026 revenue grew 22% YoY to $997M with adjusted EBITDA of $168M (+54%), and full-year 2026 revenue guidance was raised to $4.10-4.15B [1]. Headquartered in Singapore and led by co-founder Anthony Tan.</w:t>
      </w:r>
    </w:p>
    <w:p>
      <w:r>
        <w:rPr>
          <w:rFonts w:ascii="Calibri" w:hAnsi="Calibri"/>
          <w:b/>
          <w:color w:val="6E8450"/>
          <w:sz w:val="18"/>
        </w:rPr>
        <w:t>11,000 Employees · https://www.grab.com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Grab pivoted from a Malaysian taxi-hailing app into a regional superapp spanning deliveries and fintech; Financial Services revenue grew 59% YoY in Q2 2026 and Deliveries 21%, showing multiple launches scaled into revenue streams [1]. AI Deployment (1/2): leadership frames the company as 'AI-First with Heart' and is rolling out AI features, but no quantified AI savings or revenue were found and employees describe some rollouts as forced [2]. Market Share (1/2): category-leading position in Southeast Asian deliveries and mobility, but no specific share-gain data surfaced. Pipeline (1/2): autonomous-vehicle and fintech expansion are discussed without specific launch dates. R&amp;D (0/1): no R&amp;D intensity above peers was evidenced.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Grab's stated purpose of driving Southeast Asia forward through economic empowerment for everyone is specific to its region and is operationalized through driver/merchant earnings and financial inclusion, with 4H values (Heart, Hunger, Honour, Humility) [2]. Community Impact (1/2): Net Zero 2040 target (a decade ahead of sector) and 10,000+ EVs each in mobility and deliveries in Indonesia and Thailand show real programs, though dollar figures were not found [3]. Employee Retention (0/2): Glassdoor commentary cites frequent reorganizations, shifting priorities and criticism of senior leadership, so no retention strength is evidenced [2]. Insider Buying (0/2): no net insider buying data found; founder control via dual-class shares (2.2% economic, 37.2% votes)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D/E of 28.2% (1.0) is far under the 70% target, revenue growth of 21.9% YoY (1.0) and an estimated multi-year revenue CAGR above 10% (1.0, 2x weight) exceed targets since 2021 revenue was roughly $0.7B against 2026 guidance of $4.1B+ [1]. Forward P/E of 22.6 scores 0.94, profit margin of 16.0% scores 0.80, and ROE of 7.7% scores 0.52 (2x weight). Forward PEG unavailable and excluded. Weighted 6.77/8 gives 8. Daily dollar volume of about $164M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Grab articulates a regional economic-empowerment cause and has made long-horizon commitments such as Net Zero 2040 and fintech buildout. However, frequent reorganizations, founder-controlled dual-class governance and a growth-and-EBITDA narrative keep it short of an infinite-game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Driving Southeast Asia forward through economic empowerment is distinctive and tied to driver, merchant and unbanked-consumer outcomes, but it has been tested for only about a decade and not through a full cycle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Employee reviews cite toxic senior leadership, lack of clear vision, and a high cadence of reorganizations and shifting priorities that create execution pressure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treating rivals as teachers was found; framing centers on market leadership and profitability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taxis to deliveries to fintech, but each step was an adjacent extension rather than abandoning a core business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invested heavily in Financial Services (revenue +59% YoY) and a 2040 Net Zero target ahead of sector peers, accepting near-term cost for long-term capability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Grab at $3.08 and a $12.6B market cap is compounding at 22% revenue growth with expanding profitability: Q2 2026 revenue was $997M (+22%), adjusted EBITDA $168M (+54%), and 2026 guidance was lifted to $4.10-4.15B revenue and $720-740M EBITDA [1]. Financial Services (+59% YoY) is the highest-growth line, D/E is only 28%, and the 16% net margin shows operating leverage is real. A forward P/E of 22.6 is modest for 20%+ growth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ROE of 7.7% is thin, Mobility growth has slowed to 12%, and Southeast Asian deliveries remain intensely competitive. Founder control (37.2% of votes on 2.2% ownership) limits minority influence, Glassdoor feedback signals reorganization fatigue, and longer-term autonomous vehicles and AI agents could weaken the driver-partner model and app-level customer ownership [2]. The stock trades below its 50-day average of $3.36, reflecting sentiment fragility.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Financial Services scaling at +59% YoY (Q2 2026) with lending and digital-bank expansion lifting group margins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Guidance raise to $4.10-4.15B revenue and $720-740M adjusted EBITDA (44-48% growth) implies continued operating leverage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Net Zero 2040 and EV fleet expansion (10,000+ EVs each in two countries) lowering driver costs and supporting regulatory goodwill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Mobility revenue growth slowing to 12% YoY in Q2 2026 as the category matures, with delivery competition compressing take rates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Governance concentration: dual-class structure gives the CEO 37.2% of votes on 2.2% of shares, plus reorganization-driven culture strain reported by employees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Autonomous vehicles and AI agents could disintermediate driver-partners and the consumer app over a multi-year horizon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Grab's core is physical-world mobility and last-mile delivery, plus a regulated fintech arm, so AI cannot substitute the service itself and AI routing/dispatch improves unit economics [1][2]. Residual exposure comes from autonomous vehicles eventually displacing the driver-partner network, from AI agents that could disintermediate the consumer app, and from employee concern that Grab is trying to replace drivers to lift margin [2]. AI Opportunity (0/1): AI features are shipping but no AI-attributed revenue figure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Grab Q2 2026 Earnings Release and Prepared Remarks, SEC Form 6-K, August 4, 2026; Q1 2026 results May 5,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reviews, Built In culture profile and Koala Gains management analysis for Grab,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Grab ESG Report 2024, KnowESG and CapEdge ESG data (MSCI AA, Sustainalytics 23.4),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