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GRPN</w:t>
      </w:r>
      <w:r>
        <w:rPr>
          <w:rFonts w:ascii="Calibri" w:hAnsi="Calibri"/>
          <w:b/>
          <w:color w:val="1A2010"/>
          <w:sz w:val="40"/>
        </w:rPr>
        <w:t xml:space="preserve">  Groupon, Inc.</w:t>
      </w:r>
    </w:p>
    <w:p>
      <w:pPr>
        <w:spacing w:after="120"/>
      </w:pPr>
      <w:r>
        <w:rPr>
          <w:rFonts w:ascii="Calibri" w:hAnsi="Calibri"/>
          <w:b/>
          <w:color w:val="6E8450"/>
          <w:sz w:val="18"/>
        </w:rPr>
        <w:t>GROWTH SLEEVE · 2026-09-26 · Inspire: 41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NASDAQ · United States</w:t>
      </w:r>
    </w:p>
    <w:p>
      <w:pPr>
        <w:spacing w:after="80"/>
      </w:pPr>
      <w:r>
        <w:rPr>
          <w:rFonts w:ascii="Calibri" w:hAnsi="Calibri"/>
          <w:b w:val="0"/>
          <w:color w:val="3A4A28"/>
          <w:sz w:val="20"/>
        </w:rPr>
        <w:t>Groupon, Inc. operates a local commerce marketplace connecting consumers to merchant deals across beauty, wellness, food and drink, home services, activities, and travel. Under CEO Dusan Šenkypl, the company is executing 'Project Foundry,' an AI-native redesign of its operations, and returned to billings and revenue growth in FY2025 for the first time in a decade, though Q2 2026 revenue and billings both declined 1% and internal accounts describe workforce disruption tied to the AI transformation [1][2].</w:t>
      </w:r>
    </w:p>
    <w:p>
      <w:r>
        <w:rPr>
          <w:rFonts w:ascii="Calibri" w:hAnsi="Calibri"/>
          <w:b/>
          <w:color w:val="6E8450"/>
          <w:sz w:val="18"/>
        </w:rPr>
        <w:t>1,734 Employees · https://www.groupon.com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FY2025 marked the first year of billings and revenue growth in a decade (billings +7% to ~$1.67B) alongside a second consecutive year of positive free cash flow, a real inflection after years of decline, though growth has already decelerated to roughly -1% in Q2 2026 [1]. AI Deployment (1/2): 'Project Foundry' is described by leadership as rearchitecting the marketplace, merchant services, and internal decision-making around AI as the foundation rather than a bolt-on, and employee accounts confirm 'roles are getting eliminated for AI' — but no specific dollar figure for savings or AI-driven revenue has been disclosed [1][2]. Market Share (0/2): Groupon operates in a commoditized local-deals category facing direct competition from booking apps, search, and social commerce, with no evidence of share leadership after a decade-long decline. Product Pipeline (1/2): Project Foundry represents a genuine next-generation platform initiative, but management itself cautions that 'the fixes will take time to compound,' indicating a vague rather than dated, revenue-quantified roadmap [1]. R&amp;D Intensity (0/1): No R&amp;D-to-revenue comparison versus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Groupon's purpose of helping people discover local experiences and deals is generic and interchangeable with any local-commerce marketplace, and it is not clearly connected to the company's current AI-native restructuring narrative, which is framed around cost efficiency and turnaround rather than a larger purpose. Community Impact (0/2): No specific charitable or community investment programs were identified. Employee Retention (0/2): Only 37% of Glassdoor reviewers would recommend Groupon to a friend, and reviews describe 'great culture ruined by massive layoffs' and historic high-turnover concerns — clear negative retention evidence [2]. Insider Buying (0/2): No insider buying data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sleeve). Groupon carries negative shareholder equity (book value of -$1.78/share), which makes debt-to-equity and return on equity undefined and excludes both from scoring. Revenue growth of -0.8% YoY (reflecting the Q2 2026 decline) and a deeply negative profit margin of -25.26% both score near or at the floor, and a Forward PEG of roughly 14.7x is far above the 3.0x floor, scoring zero at 2x weight [1]. The one bright spot is a forward P/E of 9.06x, which is inexpensive, and the company has produced two consecutive years of positive free cash flow ($58.2M) — a genuine improvement not fully captured by the mechanical metrics. The stock clears the liquidity floor comfortably (~$30.5M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Groupon's current transformation is a survival-driven cost and AI restructuring after a decade of decline, not a mission-driven bet made from a position of strength. Employee accounts describe leadership taking credit for success while shifting blame downward, 'yes men' dynamics, and role eliminations tied to AI — the hallmarks of a finite-game turnaround rather than an organization built to endure.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Current company narrative and management commentary center on billings growth, EBITDA guidance, and free cash flow — a financial-turnaround story rather than an articulated vision of a better future for customers or merchants; no evidence of a service-oriented Just Cause beyond the original, now largely retired, 'discover your city' positioning was found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reviews describe a low-trust environment: 'the leadership team gets praise when things go right, but blame is shifted on the workforce when things go wrong,' most leaders are described as 'yes-men,' and only 37% of employees would recommend the company to a friend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Groupon framing competitors as worthy rivals to learn from rather than as share to be won back; scored conservatively at zero absent evidence.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Project Foundry represents a genuine attempt to rearchitect how the entire company operates around AI rather than defend the legacy daily-deals model, a real (if necessity-driven) transformation bet [1]. It does not reach the top score because the pivot is explicitly framed as a response to a decade of decline rather than a proactive move made from strength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Committing to a full AI-native operational redesign that includes eliminating existing roles is a costly, disruptive decision that trades near-term organizational stability for a bet on long-term efficiency and relevance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Groupon posted its first year of billings and revenue growth in a decade in FY2025 (billings +7% to ~$1.67B, a second consecutive year of positive free cash flow of $58.2M), and management has raised full-year 2026 adjusted EBITDA guidance to $75-80M from $70-75M even as it executes 'Project Foundry,' an ambitious AI-native redesign of the marketplace, merchant services, and internal operations [1]. A forward P/E of 9.06x is inexpensive if the turnaround holds, and the balance sheet carries $226M of cash against continued positive operating cash flow.</w:t>
      </w:r>
    </w:p>
    <w:p>
      <w:pPr>
        <w:spacing w:after="120"/>
      </w:pPr>
      <w:r>
        <w:rPr>
          <w:rFonts w:ascii="Calibri" w:hAnsi="Calibri"/>
          <w:b w:val="0"/>
          <w:color w:val="3A4A28"/>
          <w:sz w:val="20"/>
        </w:rPr>
        <w:t>The bear case is severe: Q2 2026 revenue and billings both declined 1%, indicating the FY2025 turnaround has already stalled, and management itself concedes 'the fixes will take time to compound' [1]. The company carries negative shareholder equity (book value of -$1.78/share), a profit margin of -25.26%, and a Forward PEG near 14.7x, all reflecting a business still working through the aftermath of a decade-long decline. Employee sentiment is troubling — only 37% would recommend the company to a friend, with reviews describing blame-shifting leadership, 'yes-men' dynamics, and role eliminations tied to the AI restructuring — raising execution risk around Project Foundry itself. Structurally, Groupon's local-deals marketplace model faces real disintermediation risk from AI shopping agents that could route consumers directly to merchants, and with weak scores across Inspiration, Infrastructure, AI Resilience, and Infinite Game, the modest FY2025 inflection does not yet outweigh the accumulated structural and cultural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Project Foundry beginning to show measurable, quantified AI-driven cost savings or merchant/consumer engagement gains rather than qualitative restructuring alone [1]</w:t>
      </w:r>
    </w:p>
    <w:p>
      <w:pPr>
        <w:spacing w:before="40" w:after="40"/>
        <w:ind w:left="283"/>
      </w:pPr>
      <w:r>
        <w:rPr>
          <w:rFonts w:ascii="Calibri" w:hAnsi="Calibri"/>
          <w:b/>
          <w:color w:val="4A6B25"/>
          <w:sz w:val="20"/>
        </w:rPr>
        <w:t xml:space="preserve">2. </w:t>
      </w:r>
      <w:r>
        <w:rPr>
          <w:rFonts w:ascii="Calibri" w:hAnsi="Calibri"/>
          <w:b w:val="0"/>
          <w:color w:val="3A4A28"/>
          <w:sz w:val="20"/>
        </w:rPr>
        <w:t>Stabilization and reacceleration of billings/revenue growth back above the FY2025 +7% pace after the Q2 2026 decline, validating that the turnaround was not a one-year blip [1]</w:t>
      </w:r>
    </w:p>
    <w:p>
      <w:pPr>
        <w:spacing w:before="40" w:after="40"/>
        <w:ind w:left="283"/>
      </w:pPr>
      <w:r>
        <w:rPr>
          <w:rFonts w:ascii="Calibri" w:hAnsi="Calibri"/>
          <w:b/>
          <w:color w:val="4A6B25"/>
          <w:sz w:val="20"/>
        </w:rPr>
        <w:t xml:space="preserve">3. </w:t>
      </w:r>
      <w:r>
        <w:rPr>
          <w:rFonts w:ascii="Calibri" w:hAnsi="Calibri"/>
          <w:b w:val="0"/>
          <w:color w:val="3A4A28"/>
          <w:sz w:val="20"/>
        </w:rPr>
        <w:t>Continued free cash flow generation (guided at $60M+ for FY2026) supporting further balance sheet repair from the current negative-equity position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revenue and billings both declined 1%, suggesting the FY2025 turnaround may already be losing momentum ahead of the harder AI-native restructuring work [1]</w:t>
      </w:r>
    </w:p>
    <w:p>
      <w:pPr>
        <w:spacing w:before="40" w:after="40"/>
        <w:ind w:left="283"/>
      </w:pPr>
      <w:r>
        <w:rPr>
          <w:rFonts w:ascii="Calibri" w:hAnsi="Calibri"/>
          <w:b/>
          <w:color w:val="4A6B25"/>
          <w:sz w:val="20"/>
        </w:rPr>
        <w:t xml:space="preserve">2. </w:t>
      </w:r>
      <w:r>
        <w:rPr>
          <w:rFonts w:ascii="Calibri" w:hAnsi="Calibri"/>
          <w:b w:val="0"/>
          <w:color w:val="3A4A28"/>
          <w:sz w:val="20"/>
        </w:rPr>
        <w:t>AI-native shopping agents and direct-to-merchant booking tools pose structural disintermediation risk to Groupon's deal-aggregator marketplace model</w:t>
      </w:r>
    </w:p>
    <w:p>
      <w:pPr>
        <w:spacing w:before="40" w:after="40"/>
        <w:ind w:left="283"/>
      </w:pPr>
      <w:r>
        <w:rPr>
          <w:rFonts w:ascii="Calibri" w:hAnsi="Calibri"/>
          <w:b/>
          <w:color w:val="4A6B25"/>
          <w:sz w:val="20"/>
        </w:rPr>
        <w:t xml:space="preserve">3. </w:t>
      </w:r>
      <w:r>
        <w:rPr>
          <w:rFonts w:ascii="Calibri" w:hAnsi="Calibri"/>
          <w:b w:val="0"/>
          <w:color w:val="3A4A28"/>
          <w:sz w:val="20"/>
        </w:rPr>
        <w:t>Negative shareholder equity and a deeply negative profit margin (-25.26%) leave little financial cushion if Project Foundry's costs run ahead of its benefits, and low employee morale (37% recommend rate) raises execution risk on the transformation itself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Groupon's core intermediary model — aggregating local merchant deals for consumers to browse and redeem — faces real substitution risk from AI shopping agents and conversational assistants that could search, compare, and book directly with merchants, bypassing marketplace aggregators; this is a structural exposure common to deal-aggregator business models. Management's own 'Project Foundry' AI-native restructuring is a defensive/adaptive response to this pressure rather than evidence the core model is protected. AI Opportunity (0/1): Groupon uses AI internally for operational efficiency rather than selling AI-enabled products, so no quantifiable AI-related revenue line exists to award the tiebreaker point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Groupon Q4 2025 and Q2 2026 earnings releases and FY2026 guidance — SEC 8-K filings, Motley Fool/Globe and Mail transcripts, Yahoo Finance, 2026</w:t>
      </w:r>
    </w:p>
    <w:p>
      <w:pPr>
        <w:spacing w:before="20" w:after="20"/>
        <w:ind w:left="170"/>
      </w:pPr>
      <w:r>
        <w:rPr>
          <w:rFonts w:ascii="Calibri" w:hAnsi="Calibri"/>
          <w:b/>
          <w:color w:val="4A6B25"/>
          <w:sz w:val="15"/>
        </w:rPr>
        <w:t xml:space="preserve">2. </w:t>
      </w:r>
      <w:r>
        <w:rPr>
          <w:rFonts w:ascii="Calibri" w:hAnsi="Calibri"/>
          <w:b w:val="0"/>
          <w:color w:val="3A4A28"/>
          <w:sz w:val="17"/>
        </w:rPr>
        <w:t>Groupon Glassdoor employee reviews and CEO Dusan Šenkypl AI-native strategy commentary — Glassdoor, company culture reporting,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yfinance — GRPN key statistics (profit margin, PEG, book value, liquidity),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