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GSIT</w:t>
      </w:r>
      <w:r>
        <w:rPr>
          <w:rFonts w:ascii="Calibri" w:hAnsi="Calibri"/>
          <w:b/>
          <w:color w:val="1A2010"/>
          <w:sz w:val="40"/>
        </w:rPr>
        <w:t xml:space="preserve">  GSI Technology,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2026-09-17 · Inspire: 43 · MIXED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E3F2FD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2563EB"/>
                <w:sz w:val="20"/>
              </w:rPr>
              <w:t>WATCH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58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Technology · Semiconductors · NASDAQ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GSI Technology designs and markets high-performance SRAM memory chips and is transitioning toward its proprietary Associative Processing Unit (APU) architecture — the Gemini and Plato chip families — targeting ultra-low-power AI inference at the edge, including defense and commercial applications.</w:t>
      </w:r>
    </w:p>
    <w:p>
      <w:r>
        <w:rPr>
          <w:rFonts w:ascii="Calibri" w:hAnsi="Calibri"/>
          <w:b/>
          <w:color w:val="6E8450"/>
          <w:sz w:val="18"/>
        </w:rPr>
        <w:t>168 Employees · https://www.gsitechnology.com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Gemini-II has moved to production and was third-party validated for ultra-low-power AI performance with a 3-second time-to-first-token result, and the company secured a $2M Phase II U.S. Army xTech SBIR contract for a ruggedized edge AI platform, evidencing real design-win traction beyond its legacy SRAM business[1][2]. Revenue grew 22.4% YoY to $25.1M in FY2026 and the Plato successor chip is on track to tape out in early 2027, showing an active pipeline, though the AI compute business remains pre-scale and unprofitable[1].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756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756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Founder Lee-Lean Shu has led GSI Technology for over 31 years since 1995 and holds a 6.6% ownership stake, reflecting strong founder alignment, and the company's edge-AI mission emphasizes energy efficiency (small form factor, low power, real-time local processing) which has some environmental resonance[2]. No specific community-impact programs, workforce retention data, or notable recent insider buying were found to push this into STRONG territory.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Balance sheet strength is a genuine positive — debt-to-equity is minimal at 8.9% and cash grew to $67.2M after a $46.9M October 2025 capital raise, giving multi-year runway[1]. However, profitability metrics are deeply negative (ROE -24.5%, profit margin -62.9%) and revenue growth, while positive, is modest (0.5% YoY per trailing figures against a 22% FY headline), so the mechanical financial score is weighed down by the company's continued net losses.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B8860B"/>
          <w:sz w:val="22"/>
        </w:rPr>
        <w:t>MIXED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Founder-CEO Lee-Lean Shu has sustained a multi-year, capital-intensive pivot from legacy SRAM into a novel APU compute architecture despite years of losses, funding the vision through a $46.9M capital raise rather than abandoning it for near-term profitability — a genuinely long-horizon bet[1][2].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The stated mission is redefining AI compute efficiency at the edge (ultra-low power, real-time local inference) rather than chasing the same GPU-scaling race as larger rivals, giving the company a distinct cause beyond quarterly results[2].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756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756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Long-tenured founder-led management (31+ years) suggests stability, but no specific evidence of employee culture, retention or psychological-safety practices was found in available sources.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756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756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Competes indirectly against Nvidia, Qualcomm and other edge-AI silicon players; GSIT's niche positioning in ultra-low-power APU compute keeps it out of direct head-to-head competition for now, tempering the rivalry benchmark.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The company has fundamentally reshaped its business away from a maturing SRAM memory franchise toward AI compute (Gemini/Plato), a material strategic pivot executed over several years rather than a reactive scramble[1].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Management persisted through a wider net loss ($13.25M in FY2026, up 24.5% YoY) while continuing to invest in the Plato roadmap and raised $46.9M in October 2025 to fund the long-term bet rather than retrench, a clear signal of conviction over short-term optics[1].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GSI Technology is a small-cap semiconductor story transitioning from a mature, declining SRAM business into a differentiated ultra-low-power AI compute franchise (Gemini-II/Plato APUs), with FY2026 revenue up 22.4% to $25.1M and third-party-validated performance driving early defense design wins including a U.S. Army xTech contract[1][2]. The $67.2M cash balance (post $46.9M raise, no debt) buys real runway to reach the 2027 Plato tape-out without near-term dilution pressure.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core risk is that this remains a pre-revenue-scale story for its AI segment — the company posted a $13.25M net loss in FY2026 and profitability metrics (ROE -24.5%, margin -62.9%) are deeply negative[1]. This is a speculative, binary WATCH: a strong niche technology thesis with real defense/edge design-win momentum, but not yet proven at commercial scale, appropriate only for investors comfortable with continued cash burn until Gemini-II/Plato adoption inflects.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Gemini-II design wins converting from defense pilots (Army xTech) to volume production orders[1][2]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Plato tape-out on track for early 2027, GSIT's next-generation APU architecture[1]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Commercial edge AI deployments expanding beyond current defense-oriented focus[1]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Continued net losses ($13.25M FY2026, wider YoY) with no clear near-term profitability timeline[1]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Legacy SRAM revenue base remains small and structurally challenged, pressuring the transition runway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Intense competitive pressure from far larger, better-capitalized AI silicon vendors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4. </w:t>
      </w:r>
      <w:r>
        <w:rPr>
          <w:rFonts w:ascii="Calibri" w:hAnsi="Calibri"/>
          <w:b w:val="0"/>
          <w:color w:val="3A4A28"/>
          <w:sz w:val="20"/>
        </w:rPr>
        <w:t>Execution risk on Plato tape-out timeline (early 2027) — semiconductor delays are common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LOW RISK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GSI Technology is a direct AI beneficiary rather than a target of disruption — its entire growth strategy is built around AI compute (Gemini-II/Plato APUs for ultra-low-power edge inference), and it has carved a defensible niche in power-constrained defense and edge use cases distinct from GPU incumbents[1][2]. The primary risk is competitive/execution (scaling against far better-capitalized AI chip players), not obsolescence, so this is scored as an AI opportunity story with low direct disruption risk.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43</w:t>
      </w:r>
      <w:r>
        <w:rPr>
          <w:rFonts w:ascii="Calibri" w:hAnsi="Calibri"/>
          <w:b/>
          <w:color w:val="B8860B"/>
          <w:sz w:val="20"/>
        </w:rPr>
        <w:t xml:space="preserve">    MIXED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Customer Privacy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Data Security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Energy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Supply Chain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GHG Emissions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Low Ecological Impact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Sustainability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Water Conservation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GSI Technology Q3/Q4 Fiscal 2026 earnings releases and Gurufocus/Motley Fool earnings call coverage,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GSI Technology Investor Relations, CEO Lee-Lean Shu bio and Forbes Technology Council profile, accessed September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GSI Technology 10-K/10-Q filings via StockTitan, cash position and capital raise disclosures, 2025-2026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