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GS</w:t>
      </w:r>
      <w:r>
        <w:rPr>
          <w:rFonts w:ascii="Calibri" w:hAnsi="Calibri"/>
          <w:b/>
          <w:color w:val="1A2010"/>
          <w:sz w:val="40"/>
        </w:rPr>
        <w:t xml:space="preserve">  The Goldman Sachs Group, Inc.</w:t>
      </w:r>
    </w:p>
    <w:p>
      <w:pPr>
        <w:spacing w:after="120"/>
      </w:pPr>
      <w:r>
        <w:rPr>
          <w:rFonts w:ascii="Calibri" w:hAnsi="Calibri"/>
          <w:b/>
          <w:color w:val="6E8450"/>
          <w:sz w:val="18"/>
        </w:rPr>
        <w:t>GROWTH SLEEVE · 2026-09-08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The Goldman Sachs Group, Inc. is a leading global financial institution providing investment banking, securities trading, asset management, and wealth management services. Founded in 1869, Goldman serves corporations, financial institutions, governments, and individuals worldwide. Under CEO David Solomon, the firm has refocused on institutional strengths after retreating from consumer banking (Marcus). Q2 2026 delivered record quarterly net revenues of $20.34B (+39% YoY) and net earnings of $6.63B (+78%), with annualized ROE of 23.5%. Asset &amp; Wealth Management revenues grew 20% to $4.6B with record management fees of $3.4B. Advisory backlog reached its highest level in five years.</w:t>
      </w:r>
    </w:p>
    <w:p>
      <w:r>
        <w:rPr>
          <w:rFonts w:ascii="Calibri" w:hAnsi="Calibri"/>
          <w:b/>
          <w:color w:val="6E8450"/>
          <w:sz w:val="18"/>
        </w:rPr>
        <w:t>47,400 Employees · https://www.goldmansachs.com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Goldman launched Marcus consumer banking as a major business model transformation in 2016 but retreated from the segment in 2023-2024, representing a failed pivot. The firm has successfully pivoted to asset management and alternatives as growth drivers, with AWM revenue reaching $4.6B (+20% YoY) and record management fees of $3.4B in Q2 2026 [1]. While the strategic refocusing is generating results, it represents one significant pivot rather than multiple transformative launches. AI Deployment (1/2): Goldman is actively deploying AI across trading, risk management, and advisory workflows. CEO Solomon registered a $30B medium-term note shelf for AI-focused initiatives and stated the AI infrastructure buildout will drive strategic activity and financing opportunities [2]. AI tools are used internally for code generation, document analysis, and client insights, but no quantified revenue or cost savings have been publicly disclosed. Market Share (2/2): Goldman is the #1 or #2 investment bank globally across M&amp;A advisory, equity underwriting, and FICC trading. Q2 2026 delivered record quarterly revenues of $20.34B, and the advisory backlog reached its highest level in five years with record mandates [1]. Dominant market positions across institutional financial services. Product Pipeline (1/2): Record advisory backlog underpinned by record mandates, alternatives and asset management buildout, and transaction banking expansion provide revenue diversification visibility. However, specific next-generation product timelines are not disclosed [1]. R&amp;D Intensity (1/1): Goldman invests approximately $5B annually in technology, placing it among the top spenders in financial services relative to peers, including meaningful AI infrastructure investment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Goldman Sachs articulates its purpose as advancing 'sustained progress' in service to others, with a commitment to 'advancing sustainable economic growth and financial opportunity.' This purpose is specific and thoughtful, connecting the firm's work to broader economic outcomes. Strategic decisions such as 10,000 Small Businesses ($1B+ deployed) and One Million Black Women ($10B commitment) trace directly back to this purpose [3]. However, the NZBA exit and ESG pragmatism under political pressure suggest the purpose has limits when costs are real. Community Impact (2/2): Goldman Sachs Foundation, 10,000 Small Businesses (providing capital and education to small business owners), One Million Black Women initiative ($10B investment commitment), and Community TeamWorks volunteer program demonstrate substantial, distinctive community investment with specific programs, dollar amounts, and measurable impact [3]. 98% of shareholders rejected anti-DEI proposals in 2026, affirming institutional commitment [3]. Employee Retention (1/2): Goldman maintains a high-performance culture with competitive compensation across 47,400 employees. The apprenticeship coaching model, Saturday rule, and senior leadership stability provide retention infrastructure. However, the demanding 'up or out' culture creates higher-than-average voluntary turnover for junior roles, and specific retention metrics are not disclosed [2]. Insider Buying (0/2): CEO Solomon's compensation is heavily equity-linked, but no evidence of meaningful net insider buying by executives in the last 12 months. Insider ownership at large financial institutions is typically minimal relative to market cap.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 stock methodology. Goldman Sachs delivered record Q2 2026 net revenues of $20.34B (+39% YoY) and net earnings of $6.63B (+78%), producing EPS of $20.98 and annualized ROE of 23.5% [1]. Full-year 2025 net revenues of $58.28B and EPS of $59.32 represented 27% earnings growth over 2024. TTM ROE of approximately 17% exceeds the 15% target (1.0, 2x weight). Revenue growth YoY of ~25% (blending Q1 +14% and Q2 +39%) far exceeds the 10% target (1.0). Forward P/E of 14.89 is well below the 20 target (1.0). Estimated profit margin of ~25% exceeds the 20% target (1.0). Forward PEG of ~0.8 scores 1.0 with 2x weight, reflecting compelling growth-adjusted valuation on current earnings momentum. The key weakness is D/E of 725%, which scores 0 at the floor — this is structural for a leveraged financial institution where the balance sheet IS the business, not a sign of financial distress [1]. 5yr revenue CAGR of ~5% (0.67, 2x weight) reflects capital markets cyclicality masking the current growth acceleration. Weighted sum 8.33/10.0 rounds to 8. Liquidity floor trivially cleared at ~$2.2B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Goldman Sachs under David Solomon plays a mixed game — the firm has genuine long-term institutional ambitions rooted in a 157-year history and has made courageous strategic pivots (exiting consumer banking, refocusing on institutional strengths), but the quarterly earnings focus of Wall Street and the performance-driven competitive culture create inherent tension with infinite game principles. The firm's retreat from the Net-Zero Banking Alliance under political pressure and the pragmatic abandonment of Marcus demonstrate that courage has limits when costs are real, though the 10,000 Small Businesses and One Million Black Women commitments show purpose beyond profit.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Goldman's purpose of advancing 'sustained progress' and 'sustainable economic growth and financial opportunity' is genuine, specific, and connects the firm's work to broader societal value. The 10,000 Small Businesses program and One Million Black Women initiative ($10B commitment) demonstrate purpose beyond profit [3]. However, the NZBA exit under political pressure and the Marcus retreat suggest the firm prioritizes pragmatism over principle when costs are real — the purpose has not been tested through multi-decade consistency in the way that defines a true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Goldman maintains a high-performance culture with strong compensation and leadership stability at the senior level. CEO Solomon has emphasized pride in the leadership team's alignment and positioning [2]. However, Goldman's 'up or out' culture, demanding work expectations, and competitive internal dynamics create tension with psychological safety. The apprenticeship coaching model and Saturday rule represent institutional efforts to balance intensity with development, but Sinek would view the environment as adequate rather than high-trust.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Goldman operates in a competitive landscape with JPMorgan Chase, Morgan Stanley, and other global banks. Solomon's public commentary focuses on self-improvement and competitive positioning rather than destroying rivals. Strategic decisions — pivoting to asset management, investing in AI, building transaction banking — reflect a focus on strengthening capabilities rather than a zero-sum mindset [1][2]. The firm acknowledges areas where JPMorgan leads (retail banking, market cap) as motivation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Goldman demonstrated meaningful strategic flexibility in exiting consumer banking (Marcus) after investing billions, acknowledging the business did not fit institutional strengths [1]. The pivot to alternatives and asset management as growth engines, with AWM revenue reaching $4.6B in Q2 2026 with record management fees, represents significant strategic adaptation. However, these were incremental shifts within financial services rather than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Solomon showed strategic courage in exiting the Marcus consumer banking initiative despite billions in sunk costs, prioritizing long-term strategic fit over short-term pride. The $10B One Million Black Women commitment represents a significant long-term investment [3]. However, the firm's exit from the Net-Zero Banking Alliance under political pressure and the pragmatic retreat from sustainability commitments suggest courage has limits when external pressure intensifies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Goldman Sachs is delivering its strongest financial performance in history — Q2 2026 record net revenues of $20.34B (+39% YoY) and net earnings of $6.63B (+78%) produced annualized ROE of 23.5% and EPS of $20.98, validating the strategic refocusing on institutional strengths [1]. AWM revenue of $4.6B (+20%) with record management fees of $3.4B demonstrates the alternatives and wealth management pivot is generating high-margin, recurring revenue. The advisory backlog at its highest level in five years, underpinned by record mandates and AI infrastructure deal flow, provides forward revenue visibility. At 14.89x forward earnings with PEG of ~0.8, Goldman is compellingly valued for a dominant franchise generating 20%+ returns on equity. The $20/share annual dividend (1.92% yield) with a 24% 5-year growth CAGR reflects strong capital return discipline on a ~30% payout ratio.</w:t>
      </w:r>
    </w:p>
    <w:p>
      <w:pPr>
        <w:spacing w:after="120"/>
      </w:pPr>
      <w:r>
        <w:rPr>
          <w:rFonts w:ascii="Calibri" w:hAnsi="Calibri"/>
          <w:b w:val="0"/>
          <w:color w:val="3A4A28"/>
          <w:sz w:val="20"/>
        </w:rPr>
        <w:t>The key risk is Goldman's structural leverage — D/E of 725% is inherent to the business model but creates meaningful vulnerability to credit market stress, counterparty risk, or a severe capital markets downturn. Revenue remains highly cyclical: the 5-year CAGR of ~5% masks Q2 2026's +39% and prior years' double-digit declines, making sustained earnings power difficult to assess [1]. The current record-setting quarter may represent a cyclical peak rather than a new baseline if M&amp;A and capital markets activity normalize. Goldman's net profit margin, while improving, remains sensitive to provisions and trading losses. The SEC's 2022 $4M ESG enforcement action and the firm's exit from the Net-Zero Banking Alliance signal governance pragmatism that could alienate sustainability-focused institutional investors [3]. The Inspire Impact Score of -67 (MISALIGNED) due to Abortion and LGBT Activism attributions creates a hard barrier for faith-based investor participation, constraining the potential shareholder base despite exceptional financial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capital markets recovery and M&amp;A cycle acceleration driving investment banking fee revenue toward sustained record levels, with the advisory backlog at its highest in five years providing multi-quarter revenue visibility [1]</w:t>
      </w:r>
    </w:p>
    <w:p>
      <w:pPr>
        <w:spacing w:before="40" w:after="40"/>
        <w:ind w:left="283"/>
      </w:pPr>
      <w:r>
        <w:rPr>
          <w:rFonts w:ascii="Calibri" w:hAnsi="Calibri"/>
          <w:b/>
          <w:color w:val="4A6B25"/>
          <w:sz w:val="20"/>
        </w:rPr>
        <w:t xml:space="preserve">2. </w:t>
      </w:r>
      <w:r>
        <w:rPr>
          <w:rFonts w:ascii="Calibri" w:hAnsi="Calibri"/>
          <w:b w:val="0"/>
          <w:color w:val="3A4A28"/>
          <w:sz w:val="20"/>
        </w:rPr>
        <w:t>Asset &amp; Wealth Management growth trajectory with record management fees of $3.4B in Q2 2026, providing higher-margin, recurring revenue streams that reduce earnings cyclicality and support premium valuation [1]</w:t>
      </w:r>
    </w:p>
    <w:p>
      <w:pPr>
        <w:spacing w:before="40" w:after="40"/>
        <w:ind w:left="283"/>
      </w:pPr>
      <w:r>
        <w:rPr>
          <w:rFonts w:ascii="Calibri" w:hAnsi="Calibri"/>
          <w:b/>
          <w:color w:val="4A6B25"/>
          <w:sz w:val="20"/>
        </w:rPr>
        <w:t xml:space="preserve">3. </w:t>
      </w:r>
      <w:r>
        <w:rPr>
          <w:rFonts w:ascii="Calibri" w:hAnsi="Calibri"/>
          <w:b w:val="0"/>
          <w:color w:val="3A4A28"/>
          <w:sz w:val="20"/>
        </w:rPr>
        <w:t>AI infrastructure buildout driving client strategic activity and financing opportunities, with Goldman's $30B AI note shelf and $5B annual technology spend positioning the firm as a primary beneficiary of AI-driven capital deployment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leverage of 725% D/E creates existential vulnerability to a severe credit event, counterparty default, or prolonged capital markets downturn — the balance sheet is the business, amplifying both upside and downside [1]</w:t>
      </w:r>
    </w:p>
    <w:p>
      <w:pPr>
        <w:spacing w:before="40" w:after="40"/>
        <w:ind w:left="283"/>
      </w:pPr>
      <w:r>
        <w:rPr>
          <w:rFonts w:ascii="Calibri" w:hAnsi="Calibri"/>
          <w:b/>
          <w:color w:val="4A6B25"/>
          <w:sz w:val="20"/>
        </w:rPr>
        <w:t xml:space="preserve">2. </w:t>
      </w:r>
      <w:r>
        <w:rPr>
          <w:rFonts w:ascii="Calibri" w:hAnsi="Calibri"/>
          <w:b w:val="0"/>
          <w:color w:val="3A4A28"/>
          <w:sz w:val="20"/>
        </w:rPr>
        <w:t>Revenue cyclicality (5% 5-year CAGR masking +39% to -20% year-over-year swings) makes earnings difficult to predict, and the record Q2 2026 quarter may represent a cyclical peak if M&amp;A and capital markets activity normalizes</w:t>
      </w:r>
    </w:p>
    <w:p>
      <w:pPr>
        <w:spacing w:before="40" w:after="40"/>
        <w:ind w:left="283"/>
      </w:pPr>
      <w:r>
        <w:rPr>
          <w:rFonts w:ascii="Calibri" w:hAnsi="Calibri"/>
          <w:b/>
          <w:color w:val="4A6B25"/>
          <w:sz w:val="20"/>
        </w:rPr>
        <w:t xml:space="preserve">3. </w:t>
      </w:r>
      <w:r>
        <w:rPr>
          <w:rFonts w:ascii="Calibri" w:hAnsi="Calibri"/>
          <w:b w:val="0"/>
          <w:color w:val="3A4A28"/>
          <w:sz w:val="20"/>
        </w:rPr>
        <w:t>Regulatory and reputational risks from the NZBA exit, SEC ESG enforcement history, and evolving financial regulations could increase compliance costs and constrain business activities in an era of heightened political scrutiny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Goldman's core business lines — M&amp;A advisory, capital markets underwriting, institutional trading, and asset management — require deep client relationships, regulatory expertise, and fiduciary trust that AI cannot replicate [1][2]. Physical-world relationship banking, complex negotiation, and regulatory compliance create meaningful defensive moats. However, AI poses real substitution risk to portions of the business: equity research, financial analysis, due diligence documentation, and routine trading execution could see significant automation. CEO Solomon acknowledges AI is reshaping work at the firm and projects more significant impact beginning in 2027-2028 [2]. Goldman's research division and back-office operations are particularly exposed to AI-driven efficiency gains that could reduce headcount. AI Opportunity (1/1): Goldman is actively deploying AI tools across the firm and registered a $30B medium-term note shelf for AI-focused initiatives. The advisory backlog at a 5-year high is partially driven by AI infrastructure buildout driving M&amp;A and financing activity among clients [1]. Technology spending of ~$5B annually includes meaningful AI infrastructure and application development, though specific AI revenue figures remain undisclosed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Goldman Sachs Q2 2026 Record Earnings — Net Revenue $20.34B (+39% YoY), Net Income $6.63B (+78%), EPS $20.98, ROE 23.5%, AWM Revenue $4.6B (+20%), Record Advisory Backlog — Quartr, Yahoo Finance, Alphastreet, July 2026</w:t>
      </w:r>
    </w:p>
    <w:p>
      <w:pPr>
        <w:spacing w:before="20" w:after="20"/>
        <w:ind w:left="170"/>
      </w:pPr>
      <w:r>
        <w:rPr>
          <w:rFonts w:ascii="Calibri" w:hAnsi="Calibri"/>
          <w:b/>
          <w:color w:val="4A6B25"/>
          <w:sz w:val="15"/>
        </w:rPr>
        <w:t xml:space="preserve">2. </w:t>
      </w:r>
      <w:r>
        <w:rPr>
          <w:rFonts w:ascii="Calibri" w:hAnsi="Calibri"/>
          <w:b w:val="0"/>
          <w:color w:val="3A4A28"/>
          <w:sz w:val="17"/>
        </w:rPr>
        <w:t>Goldman Sachs AI Strategy and Leadership — CEO David Solomon on AI Infrastructure, $30B AI Note Shelf, $5B Annual Tech Spend, Apprenticeship Culture — Fortune, Built In, WebProNews, 2025-2026</w:t>
      </w:r>
    </w:p>
    <w:p>
      <w:pPr>
        <w:spacing w:before="20" w:after="20"/>
        <w:ind w:left="170"/>
      </w:pPr>
      <w:r>
        <w:rPr>
          <w:rFonts w:ascii="Calibri" w:hAnsi="Calibri"/>
          <w:b/>
          <w:color w:val="4A6B25"/>
          <w:sz w:val="15"/>
        </w:rPr>
        <w:t xml:space="preserve">3. </w:t>
      </w:r>
      <w:r>
        <w:rPr>
          <w:rFonts w:ascii="Calibri" w:hAnsi="Calibri"/>
          <w:b w:val="0"/>
          <w:color w:val="3A4A28"/>
          <w:sz w:val="17"/>
        </w:rPr>
        <w:t>Goldman Sachs ESG and Governance — NZBA Exit, SEC ESG Enforcement, 98% Shareholder Rejection of Anti-DEI Proposals, Fossil Fuel Financing Criticism — ESG Dive, Impakter, Emerald Publishing,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