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GTLS</w:t>
      </w:r>
      <w:r>
        <w:rPr>
          <w:rFonts w:ascii="Calibri" w:hAnsi="Calibri"/>
          <w:b/>
          <w:color w:val="1A2010"/>
          <w:sz w:val="40"/>
        </w:rPr>
        <w:t xml:space="preserve">  Chart Industries, Inc.</w:t>
      </w:r>
    </w:p>
    <w:p>
      <w:pPr>
        <w:spacing w:after="120"/>
      </w:pPr>
      <w:r>
        <w:rPr>
          <w:rFonts w:ascii="Calibri" w:hAnsi="Calibri"/>
          <w:b/>
          <w:color w:val="6E8450"/>
          <w:sz w:val="18"/>
        </w:rPr>
        <w:t>GROWTH SLEEVE · 2026-09-24 · Inspire: 68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Chart Industries, Inc. designed, engineered, and manufactured process technologies and equipment for gas and liquid molecule handling across what it called the Nexus of Clean — clean power, clean water, clean food, and clean industrials. Operating through Cryo Tank Solutions, Heat Transfer Systems, Specialty Products, and Repair Service &amp; Leasing segments, Chart served LNG, hydrogen, carbon capture, data center cooling, and industrial gas markets globally. Baker Hughes completed its acquisition of Chart Industries on July 16, 2026 for $210 per share in cash, representing a total enterprise value of $13.6 billion. GTLS was delisted from NYSE upon completion of the acquisition. The analysis below reflects Chart's final operational state as an independent company.</w:t>
      </w:r>
    </w:p>
    <w:p>
      <w:r>
        <w:rPr>
          <w:rFonts w:ascii="Calibri" w:hAnsi="Calibri"/>
          <w:b/>
          <w:color w:val="6E8450"/>
          <w:sz w:val="18"/>
        </w:rPr>
        <w:t>11,777 Employees · https://www.chartindustries.com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 Howden acquisition was transformative, more than doubling Chart's revenue from ~$1.5B to $4.26B and creating a full-solution platform spanning cryogenic equipment, compression, and aftermarket services — this fundamentally redefined the company from a niche equipment maker to an integrated industrial technology provider [1]. Under CEO Jill Evanko's nine-year leadership, Chart expanded into data center cooling and carbon capture markets, positioning the company at the intersection of energy transition megatrends [3]. AI Deployment (0/2): No AI-powered products shipping or quantified AI-driven cost savings. Chart's differentiation was in metallurgical engineering expertise and process technology rather than digital technology. Market Share (2/2): Chart held dominant global positions in cryogenic equipment for LNG, brazed aluminum heat exchangers, vacuum-insulated storage tanks, and small/mid-scale LNG solutions. Baker Hughes' $13.6B enterprise value acquisition validated this technology and market leadership [2]. Pipeline (1/2): Strong order pipeline in data center cooling and LNG infrastructure with FY2025 orders of $5.68B (up 13.4% YoY), though specific product launch dates with revenue visibility were framed in general backlog terms rather than discrete product announcements [1]. R&amp;D Intensity (0/1): Differentiation came from engineering expertise and installed-base knowledge rather than above-industry R&amp;D spending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Chart's purpose centered on the 'Nexus of Clean' — clean power, clean water, clean food, and clean industrials — connecting process technology to environmental outcomes [3]. The framework was specific and thoughtful, identifying a larger purpose beyond manufacturing equipment, though it was validated over only 5-7 years rather than decades. Community Impact (1/2): Chart published annual sustainability reports and positioned its technology portfolio as enabling decarbonization through LNG, hydrogen, and carbon capture infrastructure [3]. Community investment was modest in scale relative to global operations. Employee Retention (0/2): Glassdoor culture/values rating of 2.9/5 was well below average. Employee reviews cited 'no effort to retain talent,' 'constant change in strategy,' and leadership communication concerns. CEO Evanko transitioned to a senior advisor role ahead of the Baker Hughes acquisition, adding organizational uncertainty [3]. Insider Buying (0/2): No evidence of meaningful net insider purchases. CEO transition to advisor role ahead of the acquisition suggests management monetization rather than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using FY2025 annual data (the last complete fiscal year before the July 2026 delisting). D/E of 104.4% reflects Howden acquisition leverage with $3.7B debt against $3.5B equity, scoring 0.85 [1][4]. ROE of approximately 3.7% (estimated from $130M GAAP net income on $3.5B equity after interest and taxes) scores 0.25 at 2x weight [1]. Revenue growth YoY of 2.5% (FY2025) scores 0.75 [1]. 5-year revenue CAGR of approximately 26% (from ~$1.3B in 2020 to $4.26B in 2025, driven by Howden acquisition) caps at 1.0 at 2x weight [1]. Forward P/E of 21.9 (based on $210 acquisition price / $9.60 consensus EPS) scores 0.95 [4]. Profit margin of approximately 3.1% (GAAP, impacted by deal costs and step-up amortization) scores 0.16 [1]. PEG unavailable (delisted), excluded. Weighted sum 5.21/8 = 7. Acquisition price of $210/share provides final valuation reference.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Chart Industries demonstrated meaningful infinite game elements — the Howden acquisition was a courageous bet to transform from a niche equipment maker into a full-solution clean energy platform, and the Nexus of Clean framework connected engineering capabilities to environmental purpose. CEO Evanko's nine-year leadership provided strategic consistency. However, weak employee trust scores (Glassdoor 2.9/5), CEO departure, and the Baker Hughes acquisition effectively ended Chart's independent infinite game trajectory, subsuming its purpose within a larger company's consolidation strategy.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Chart's 'Nexus of Clean' framework — clean power, clean water, clean food, clean industrials — was a genuine cause connecting process technology to environmental sustainability and human welfare [3]. The Howden acquisition demonstrated strategic commitment to this vision by building an integrated platform for the energy transition. However, the cause was validated over only 5-7 years rather than decades, and the Baker Hughes acquisition subsumed this distinct purpose within a larger corporate entity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revealed a low-trust environment with culture/values rated 2.9/5 and career opportunities at 2.9/5 [3]. Recurring employee themes included 'constant change in strategy and reorganizing,' 'zero loyalty to long-term employees,' and perception that production workers were undervalued relative to sales teams. The Baker Hughes acquisition compounded organizational uncertainty with CEO Evanko transitioning to an advisory role. This was not a Circle of Safety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Chart's competitive language emphasized market leadership and technology dominance. The agreement to be acquired by Baker Hughes reflected a board decision to monetize rather than compete independently. No evidence of management commentary referencing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2023 Howden acquisition fundamentally transformed Chart from a niche cryogenic equipment maker (~$1.5B revenue) into an integrated clean energy and industrial technology platform ($4.26B revenue) spanning compression, aftermarket services, and process technology across 50+ countries [1]. This was a transformative reinvention driven by the Nexus of Clean vision rather than desperation. The subsequent expansion into data center cooling represented continued strategic evolution into emerging end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Under CEO Evanko, Chart executed the highly leveraged Howden acquisition in 2023, taking on $3.7B in debt to fundamentally transform the company during rising interest rates [1]. This was a bold bet prioritizing long-term platform capability over near-term financial comfort. However, the subsequent agreement to sell to Baker Hughes for $210/share, while maximizing shareholder value, represented choosing monetization over continued independent execution of the Nexus of Clean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Chart Industries was a global leader in cryogenic and process technology positioned at the intersection of LNG infrastructure, hydrogen, carbon capture, and AI data center cooling. The Baker Hughes acquisition closed on July 16, 2026 at $210/share ($13.6B enterprise value), validating Chart's technology portfolio and strategic positioning [2]. FY2025 demonstrated the strength of the integrated platform with $4.26B revenue, $5.68B in orders (up 13.4%), and a book-to-bill of 1.33x driven by accelerating demand in LNG, data center cooling, and energy transition end markets [1]. The Nexus of Clean framework connected Chart's engineering capabilities to four secular growth megatrends (clean power, water, food, industrials). Inspire Impact Score of 68 (ALIGNED) across 21 positive attribution categories reflected strong ESG positioning for a capital goods manufacturer [3].</w:t>
      </w:r>
    </w:p>
    <w:p>
      <w:pPr>
        <w:spacing w:after="120"/>
      </w:pPr>
      <w:r>
        <w:rPr>
          <w:rFonts w:ascii="Calibri" w:hAnsi="Calibri"/>
          <w:b w:val="0"/>
          <w:color w:val="3A4A28"/>
          <w:sz w:val="20"/>
        </w:rPr>
        <w:t>The stock is no longer independently tradeable following the July 16, 2026 Baker Hughes acquisition at $210/share. Prior to the acquisition, the bear case centered on Q1 2026 operational deterioration — revenue declined 11.7% to $884.8M with gross margin contracting 550bps to 28.4% from unfavorable product mix, higher labor/material costs, and tariff impacts, resulting in a loss of $0.36/share [1]. ROE had compressed to approximately 3.7% on GAAP basis, and profit margin of approximately 3.1% reflected the continued burden of Howden integration on a leveraged balance sheet (D/E 104.4%). Employee culture issues (Glassdoor 2.9/5) and CEO departure created execution risk. The acquisition resolved equity risk but former shareholders no longer have exposure to Chart's growth trajectory, which is now embedded within Baker Hughes' $30B+ energy technology platform. The EU conditional approval required LNG-related divestments that may reshape Chart's business mix within Baker Hughes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Baker Hughes integration provides Chart's technologies with broader global distribution, customer access, and financial resources than achievable independently — expected to deliver $325M in annual cost synergies by year three of integration [2]</w:t>
      </w:r>
    </w:p>
    <w:p>
      <w:pPr>
        <w:spacing w:before="40" w:after="40"/>
        <w:ind w:left="283"/>
      </w:pPr>
      <w:r>
        <w:rPr>
          <w:rFonts w:ascii="Calibri" w:hAnsi="Calibri"/>
          <w:b/>
          <w:color w:val="4A6B25"/>
          <w:sz w:val="20"/>
        </w:rPr>
        <w:t xml:space="preserve">2. </w:t>
      </w:r>
      <w:r>
        <w:rPr>
          <w:rFonts w:ascii="Calibri" w:hAnsi="Calibri"/>
          <w:b w:val="0"/>
          <w:color w:val="3A4A28"/>
          <w:sz w:val="20"/>
        </w:rPr>
        <w:t>AI data center cooling demand creating structural growth for heat exchanger and process technology within Baker Hughes' Industrial &amp; Energy Technology segment, as hyperscaler electricity and cooling investment accelerates globally [1]</w:t>
      </w:r>
    </w:p>
    <w:p>
      <w:pPr>
        <w:spacing w:before="40" w:after="40"/>
        <w:ind w:left="283"/>
      </w:pPr>
      <w:r>
        <w:rPr>
          <w:rFonts w:ascii="Calibri" w:hAnsi="Calibri"/>
          <w:b/>
          <w:color w:val="4A6B25"/>
          <w:sz w:val="20"/>
        </w:rPr>
        <w:t xml:space="preserve">3. </w:t>
      </w:r>
      <w:r>
        <w:rPr>
          <w:rFonts w:ascii="Calibri" w:hAnsi="Calibri"/>
          <w:b w:val="0"/>
          <w:color w:val="3A4A28"/>
          <w:sz w:val="20"/>
        </w:rPr>
        <w:t>Energy transition tailwinds across LNG infrastructure, hydrogen production, and carbon capture driving order backlog growth — FY2025 orders of $5.68B (+13.4%) with book-to-bill of 1.33x demonstrate strengthening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Post-acquisition integration within Baker Hughes could dilute Chart's focused 'Nexus of Clean' identity and engineering culture, with $325M synergy targets requiring headcount and operational restructuring across 50+ country operations [2]</w:t>
      </w:r>
    </w:p>
    <w:p>
      <w:pPr>
        <w:spacing w:before="40" w:after="40"/>
        <w:ind w:left="283"/>
      </w:pPr>
      <w:r>
        <w:rPr>
          <w:rFonts w:ascii="Calibri" w:hAnsi="Calibri"/>
          <w:b/>
          <w:color w:val="4A6B25"/>
          <w:sz w:val="20"/>
        </w:rPr>
        <w:t xml:space="preserve">2. </w:t>
      </w:r>
      <w:r>
        <w:rPr>
          <w:rFonts w:ascii="Calibri" w:hAnsi="Calibri"/>
          <w:b w:val="0"/>
          <w:color w:val="3A4A28"/>
          <w:sz w:val="20"/>
        </w:rPr>
        <w:t>EU regulatory conditions requiring LNG-related divestments may force disposal of some of Chart's highest-growth business lines, reducing the strategic value of the combined entity [2]</w:t>
      </w:r>
    </w:p>
    <w:p>
      <w:pPr>
        <w:spacing w:before="40" w:after="40"/>
        <w:ind w:left="283"/>
      </w:pPr>
      <w:r>
        <w:rPr>
          <w:rFonts w:ascii="Calibri" w:hAnsi="Calibri"/>
          <w:b/>
          <w:color w:val="4A6B25"/>
          <w:sz w:val="20"/>
        </w:rPr>
        <w:t xml:space="preserve">3. </w:t>
      </w:r>
      <w:r>
        <w:rPr>
          <w:rFonts w:ascii="Calibri" w:hAnsi="Calibri"/>
          <w:b w:val="0"/>
          <w:color w:val="3A4A28"/>
          <w:sz w:val="20"/>
        </w:rPr>
        <w:t>Former GTLS shareholders no longer have direct exposure to Chart's growth trajectory — the equity story is now subsumed within Baker Hughes (BKR), and Chart's individual segment performance may not be separately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Chart Industries operated in physical-world industrial manufacturing — designing and building cryogenic tanks, heat exchangers, compressors, and LNG processing equipment. These were highly engineered, custom-fabricated physical products requiring metallurgical expertise and specialized manufacturing capabilities that AI structurally cannot displace [1]. AI data center expansion directly increased demand for Chart's cooling solutions and water treatment infrastructure — the company was an enabler of AI infrastructure rather than a target of disruption. FY2025 orders of $5.68B (up 13.4%) included significant data center cooling demand driven by hyperscaler AI investment [1][2]. The installed base of thousands of cryogenic systems worldwide created aftermarket service revenue that AI cannot substitute. AI Opportunity (1/1): Chart generated meaningful and growing revenue from AI-related infrastructure. Data center cooling solutions and water treatment equipment for hyperscaler AI facilities represented a direct revenue link between AI growth and Chart's business, with FY2025 order acceleration validating this dynamic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Chart Industries FY2025 Annual Results — Revenue $4.26B (+2.5% YoY), Orders $5.68B (+13.4%), Book-to-Bill 1.33x, Gross Margin 33.7%, Adjusted Operating Income Margin 20.7%, FCF $204.8M, SEC 10-K / S&amp;P Capital IQ, February 2026</w:t>
      </w:r>
    </w:p>
    <w:p>
      <w:pPr>
        <w:spacing w:before="20" w:after="20"/>
        <w:ind w:left="170"/>
      </w:pPr>
      <w:r>
        <w:rPr>
          <w:rFonts w:ascii="Calibri" w:hAnsi="Calibri"/>
          <w:b/>
          <w:color w:val="4A6B25"/>
          <w:sz w:val="15"/>
        </w:rPr>
        <w:t xml:space="preserve">2. </w:t>
      </w:r>
      <w:r>
        <w:rPr>
          <w:rFonts w:ascii="Calibri" w:hAnsi="Calibri"/>
          <w:b w:val="0"/>
          <w:color w:val="3A4A28"/>
          <w:sz w:val="17"/>
        </w:rPr>
        <w:t>Baker Hughes Acquisition of Chart Industries — $210/Share Cash, $13.6B TEV, Completed July 16, 2026, EU Conditional Approval with LNG Divestment Requirements, $325M Annual Synergy Target, Baker Hughes Investor Relations / Yahoo Finance / GasWorld, July 2026</w:t>
      </w:r>
    </w:p>
    <w:p>
      <w:pPr>
        <w:spacing w:before="20" w:after="20"/>
        <w:ind w:left="170"/>
      </w:pPr>
      <w:r>
        <w:rPr>
          <w:rFonts w:ascii="Calibri" w:hAnsi="Calibri"/>
          <w:b/>
          <w:color w:val="4A6B25"/>
          <w:sz w:val="15"/>
        </w:rPr>
        <w:t xml:space="preserve">3. </w:t>
      </w:r>
      <w:r>
        <w:rPr>
          <w:rFonts w:ascii="Calibri" w:hAnsi="Calibri"/>
          <w:b w:val="0"/>
          <w:color w:val="3A4A28"/>
          <w:sz w:val="17"/>
        </w:rPr>
        <w:t>Chart Industries Leadership, Culture, ESG, and Nexus of Clean — CEO Jill Evanko 9-Year Tenure, Glassdoor 2.9/5, 2025 Sustainability Report, ChartIndustries.com / GlobeNewsWire,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Chart Industries (GTLS) Financial Statistics — D/E 104.4%, Shareholders Equity $3.5B, Total Debt $3.7B, StockAnalysis.com / Simply Wall St / MacroTrends,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