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GTX</w:t>
      </w:r>
      <w:r>
        <w:rPr>
          <w:rFonts w:ascii="Calibri" w:hAnsi="Calibri"/>
          <w:b/>
          <w:color w:val="1A2010"/>
          <w:sz w:val="40"/>
        </w:rPr>
        <w:t xml:space="preserve">  Garrett Motion Inc.</w:t>
      </w:r>
    </w:p>
    <w:p>
      <w:pPr>
        <w:spacing w:after="120"/>
      </w:pPr>
      <w:r>
        <w:rPr>
          <w:rFonts w:ascii="Calibri" w:hAnsi="Calibri"/>
          <w:b/>
          <w:color w:val="6E8450"/>
          <w:sz w:val="18"/>
        </w:rPr>
        <w:t>GROWTH SLEEVE · 2026-09-08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Auto Parts · NASDAQ · United States</w:t>
      </w:r>
    </w:p>
    <w:p>
      <w:pPr>
        <w:spacing w:after="80"/>
      </w:pPr>
      <w:r>
        <w:rPr>
          <w:rFonts w:ascii="Calibri" w:hAnsi="Calibri"/>
          <w:b w:val="0"/>
          <w:color w:val="3A4A28"/>
          <w:sz w:val="20"/>
        </w:rPr>
        <w:t>Garrett Motion Inc. is a global automotive and industrial technology company that designs, manufactures, and sells turbocharger and electric-boosting technologies for light vehicle, commercial vehicle, and industrial OEMs. Spun off from Honeywell in October 2018 and emerged from Chapter 11 bankruptcy in April 2021. Headquartered in Rolle, Switzerland, Garrett operates 6 R&amp;D centers and 13 manufacturing facilities across 20+ countries, with 60+ years of turbocharger technology leadership. Q2 2026 net sales of $976M (+7% YoY) with record adjusted EBIT of $152M (15.6% margin). Raised full-year 2026 guidance to $3.8B revenue, $580M adjusted EBIT, and $430M adjusted FCF.</w:t>
      </w:r>
    </w:p>
    <w:p>
      <w:r>
        <w:rPr>
          <w:rFonts w:ascii="Calibri" w:hAnsi="Calibri"/>
          <w:b/>
          <w:color w:val="6E8450"/>
          <w:sz w:val="18"/>
        </w:rPr>
        <w:t>9,000 Employees · https://www.garrettmotion.com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Garrett has expanded from traditional turbochargers into e-turbo (electric boosting), e-powertrain (3-in-1 high-speed motor+inverter+reducer, 40% smaller than benchmarks), hydrogen fuel cell compressors, and e-cooling systems [1]. Revenue target of $1B non-turbo by 2030 and $2.5B by 2035. However, zero-emission products have not yet generated significant revenue — the transformation is in progress, not proven. The Weichai partnership for the largest turbocharger platform launch demonstrates ongoing core business innovation [2]. AI Deployment (1/2): PTC partnership (November 2025) expanding Onshape CAD to include Codebeamer+ ALM and Windchill+ PLM for a unified AI-ready product development architecture. CEO Rabiller stated 'Partnering with PTC enables us to unify our product development on an AI-ready architecture.' The company uses 50+ proprietary AI and simulation tools internally for design optimization [2]. Market Share (2/2): Global leader in automotive turbochargers with 60+ years of technology leadership and 1,400+ patents. Q2 2026 demonstrated strength across all segments: gasoline, diesel, commercial vehicle/industrial (+13% CC in Q1), and aftermarket channels all growing [1]. Product Pipeline (2/2): E-Powertrain production award for 2027 SOP in China, E-Cooling compressor award from Tonfy for 2027 SOP, 2nd commercial vehicle e-powertrain award in China, range-extended EV programs with European OEMs, and Weichai turbocharger platform launch provide specific timelines and revenue visibility [1][2]. R&amp;D Intensity (1/1): R&amp;D at 4.2% of sales with 50%+ of R&amp;D budget allocated to zero-emission technologies, above auto parts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Garrett's stated mission is 'enabling the transportation industry to advance motion through unique, differentiated innovation' with emphasis on 'reducing emissions, enhancing energy efficiency, and supporting zero-emission vehicles' [2]. This is specific and connects the company's work to a larger purpose around clean transportation. However, the company is only 8 years old (post-Honeywell spin) and has not validated this purpose through multi-decade execution or crisis. Community Impact (0/2): General mention of 'thousands of students and young engineers' engaged in STEM activities, but no specific philanthropic programs, foundation, or dollar amounts cited [2]. Employee Retention (0/2): Glassdoor 3.6/5 with CEO approval of 76%. Average ratings, with 'toxic workplace environment' cited as the top negative review theme. No specific retention or tenure data publicly available [2]. Insider Buying (0/2): Heavy insider selling across all senior executives in 2026 — CEO Rabiller sold 430,000 shares for ~$5.8M in February, CFO Deason sold 110,000 shares in June, SVP Mabru sold 70,000 shares in May. All sells, zero buys across the leadership team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D/E and ROE excluded (set to null) due to negative stockholders' equity of approximately -$781M, a legacy of the 2020 bankruptcy restructuring that does not reflect actual financial health. Q2 2026 net sales of $976M (+7% YoY reported, +5% constant currency) with record adjusted EBIT of $152M at 15.6% margin [1]. Raised full-year 2026 guidance to $3.8B net sales, $580M adjusted EBIT, and $430M adjusted FCF. Forward P/E of approximately 13.3x (estimated on ~$2.10 consensus EPS) is well below the 20 target (scores 1.0). Forward PEG of ~0.8 scores 1.0 with 2x weight, reflecting compelling growth-adjusted valuation. Revenue growth YoY of 7% scores 0.9. Profit margin of 9.51% scores 0.48 against the 20% target. 5yr revenue CAGR of ~3.5% scores 0.57 with 2x weight. Net leverage of ~1.9x with all debt maturing in 2032 and $772M available liquidity provide adequate flexibility [1]. Weighted sum 5.51/7.0 (excluding null metrics) rounds to 8. Capital return: completed $115.25M buyback program, shares outstanding down 44% since January 2023, $0.32/share annual dividend initiated 2025. Liquidity floor cleared at ~$89M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Garrett Motion is a financially disciplined industrial company executing well on capital allocation and shareholder returns, but lacks a deeply articulated Just Cause beyond profitability and technology leadership. The aggressive share buyback program (44% share reduction since 2023), heavy insider selling across all C-suite executives, and emphasis on quarterly financial metrics suggest a predominantly finite game orientation. The zero-emission technology investment shows strategic foresight driven by market necessity rather than a transformative purpose, and the company is too young post-bankruptcy (5 years) to have proven its cause through crisis or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'Advance motion through differentiated innovation' connects to emissions reduction and clean transportation, partially validated by the 50%+ R&amp;D allocation to zero-emission technologies and the $1B non-turbo revenue target by 2030 [1]. However, the company is only 8 years old (post-Honeywell spin, 5 years post-bankruptcy) and has not proven this cause through crisis or multi-decade consistency. The emphasis on shareholder returns (75% of FCF target) over cause advancement suggests financial optimization, not Just Cause pursuit.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Rabiller has led since the 2018 spin-off (8 years), providing leadership continuity through bankruptcy and emergence. CTO Craig Balis also dates from the spin-off, and the core leadership team has remained stable [2]. However, Glassdoor's top negative theme is 'toxic workplace environment and poor leadership,' and CEO approval of 76% is only moderate. The 9,000+ employee manufacturing workforce operates across 13 facilities in 20+ countries, making cultural consistency challenging.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BorgWarner is the primary direct competitor in turbocharging. No evidence found of Garrett framing competition in learning terms or explicitly acknowledging rivals' strengths as motivation for self-improvement. Capital Markets Day presentations and earnings calls focus on Garrett's own technology roadmap and market positioning rather than competitive learning dynamics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Garrett is pivoting from pure turbochargers to include e-powertrain, fuel cell compressors, and e-cooling systems, targeting $1B non-turbo revenue by 2030 and $2.5B by 2035. Key partnerships with Trane Technologies (cooling), Yutong (battery storage), Ingersoll Rand (air compression), and Weichai (turbocharger platform) extend beyond traditional automotive [1][2]. The shift is significant but incremental, driven by EV transition necessity rather than a cause-led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50%+ of R&amp;D budget in zero-emission technologies while the core turbo business remains profitable demonstrates forward thinking. Accepting the Capital Markets Day target of $1B non-turbo revenue by 2030 is ambitious [1]. The raised 2026 guidance to $3.8B revenue and $580M adjusted EBIT shows confidence. However, the 75% FCF shareholder return target and aggressive buybacks (44% of shares since 2023) prioritize near-term financial engineering over long-term reinvestment.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Garrett Motion at ~13.3x forward earnings with PEG of ~0.8 is one of the cheapest industrial growth stories in the market. Q2 2026 delivered net sales of $976M (+7% YoY) with record adjusted EBIT of $152M at 15.6% margin, prompting management to raise full-year 2026 guidance to $3.8B revenue, $580M adjusted EBIT, and $430M adjusted FCF [1]. The capital allocation story is exceptional — shares outstanding decreased 44% since January 2023 through aggressive buybacks ($115.25M program completed in Q2), and the $0.32/share annual dividend was initiated in 2025. Forward PEG of ~0.8 on continued EPS growth makes this a compelling value/growth hybrid. The Capital Markets Day outlined $2B+ cumulative FCF through 2030 at 5% revenue CAGR, with the e-powertrain, fuel cell, and e-cooling pipeline targeting $1B non-turbo revenue by 2030 [1]. The Inspire Impact Score of 46 (ALIGNED) with no negative attributions makes GTX one of the most faith-friendly industrial names in the screen.</w:t>
      </w:r>
    </w:p>
    <w:p>
      <w:pPr>
        <w:spacing w:after="120"/>
      </w:pPr>
      <w:r>
        <w:rPr>
          <w:rFonts w:ascii="Calibri" w:hAnsi="Calibri"/>
          <w:b w:val="0"/>
          <w:color w:val="3A4A28"/>
          <w:sz w:val="20"/>
        </w:rPr>
        <w:t>The primary risk is the ICE-to-EV transition structurally reducing turbocharger demand — while management expects turbo revenue in 2035 to exceed 2025, this thesis depends on slower-than-expected BEV adoption and strong hybrid/PHEV uptake [1]. Negative stockholders' equity of approximately -$781M (bankruptcy legacy) creates accounting distortions that depress reported D/E and ROE metrics, though net leverage of ~1.9x and ROIC of ~43% demonstrate actual financial health. Heavy insider selling across all senior executives in 2026 (CEO $5.8M, CFO $3.6M, SVPs combined $2.3M+ — zero buys) raises alignment concerns despite management raising guidance [1]. The stock's decline from ~$31.50 to $27.97 may reflect the market digesting these insider sales and auto sector uncertainty. Revenue growth of 7% YoY and 5-year CAGR of ~3.5% reflect the mature auto parts industry, and profit margin of 9.51% is well below the 20% infrastructure target, limiting the infrastructure score despite strong valuation and growth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guidance to $3.8B revenue, $580M adjusted EBIT, and $430M adjusted FCF after record Q2 adjusted EBIT of $152M at 15.6% margin, with growth across all channels including commercial vehicle/industrial [1]</w:t>
      </w:r>
    </w:p>
    <w:p>
      <w:pPr>
        <w:spacing w:before="40" w:after="40"/>
        <w:ind w:left="283"/>
      </w:pPr>
      <w:r>
        <w:rPr>
          <w:rFonts w:ascii="Calibri" w:hAnsi="Calibri"/>
          <w:b/>
          <w:color w:val="4A6B25"/>
          <w:sz w:val="20"/>
        </w:rPr>
        <w:t xml:space="preserve">2. </w:t>
      </w:r>
      <w:r>
        <w:rPr>
          <w:rFonts w:ascii="Calibri" w:hAnsi="Calibri"/>
          <w:b w:val="0"/>
          <w:color w:val="3A4A28"/>
          <w:sz w:val="20"/>
        </w:rPr>
        <w:t>E-Powertrain and E-Cooling production awards with 2027 SOP in China and European OEM contracts positioning for zero-emission revenue acceleration toward the $1B non-turbo revenue target by 2030 [1]</w:t>
      </w:r>
    </w:p>
    <w:p>
      <w:pPr>
        <w:spacing w:before="40" w:after="40"/>
        <w:ind w:left="283"/>
      </w:pPr>
      <w:r>
        <w:rPr>
          <w:rFonts w:ascii="Calibri" w:hAnsi="Calibri"/>
          <w:b/>
          <w:color w:val="4A6B25"/>
          <w:sz w:val="20"/>
        </w:rPr>
        <w:t xml:space="preserve">3. </w:t>
      </w:r>
      <w:r>
        <w:rPr>
          <w:rFonts w:ascii="Calibri" w:hAnsi="Calibri"/>
          <w:b w:val="0"/>
          <w:color w:val="3A4A28"/>
          <w:sz w:val="20"/>
        </w:rPr>
        <w:t>Continued aggressive capital return: shares outstanding down 44% since January 2023, $115.25M buyback completed, dividend initiated and growing, with 75% FCF return target supporting ongoing EPS accretion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Battery EV penetration accelerating beyond management's assumptions would structurally reduce turbocharger demand, undermining the thesis that turbo revenue in 2035 exceeds 2025 levels — the entire growth story depends on hybrid/PHEV extending ICE relevance [1]</w:t>
      </w:r>
    </w:p>
    <w:p>
      <w:pPr>
        <w:spacing w:before="40" w:after="40"/>
        <w:ind w:left="283"/>
      </w:pPr>
      <w:r>
        <w:rPr>
          <w:rFonts w:ascii="Calibri" w:hAnsi="Calibri"/>
          <w:b/>
          <w:color w:val="4A6B25"/>
          <w:sz w:val="20"/>
        </w:rPr>
        <w:t xml:space="preserve">2. </w:t>
      </w:r>
      <w:r>
        <w:rPr>
          <w:rFonts w:ascii="Calibri" w:hAnsi="Calibri"/>
          <w:b w:val="0"/>
          <w:color w:val="3A4A28"/>
          <w:sz w:val="20"/>
        </w:rPr>
        <w:t>Heavy insider selling by CEO ($5.8M), CFO ($3.6M), and SVPs (combined $2.3M+) with zero insider buys in 2026 raises alignment questions, particularly given the stock price decline from $31.50 to $27.97 [1]</w:t>
      </w:r>
    </w:p>
    <w:p>
      <w:pPr>
        <w:spacing w:before="40" w:after="40"/>
        <w:ind w:left="283"/>
      </w:pPr>
      <w:r>
        <w:rPr>
          <w:rFonts w:ascii="Calibri" w:hAnsi="Calibri"/>
          <w:b/>
          <w:color w:val="4A6B25"/>
          <w:sz w:val="20"/>
        </w:rPr>
        <w:t xml:space="preserve">3. </w:t>
      </w:r>
      <w:r>
        <w:rPr>
          <w:rFonts w:ascii="Calibri" w:hAnsi="Calibri"/>
          <w:b w:val="0"/>
          <w:color w:val="3A4A28"/>
          <w:sz w:val="20"/>
        </w:rPr>
        <w:t>Negative stockholders' equity of -$781M and profit margin of only 9.51% create structural headwinds — the bankruptcy legacy limits balance sheet flexibility for acquisitions, and thin margins compress in a downturn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Garrett manufactures precision-engineered turbochargers and electric-boosting hardware for automotive and industrial OEMs — physical products requiring decades of metallurgical expertise, advanced manufacturing capability, and multi-year OEM qualification processes that AI structurally cannot replicate [1]. Supply chain relationships, production certifications (ISO 45001, ISO 50001, ISO 14001 across 100% of sites), and safety-critical automotive validation create deep structural moats [2]. The primary disruption risk is EV transition reducing ICE turbocharger demand, but this is electrification risk, not AI disruption, and Garrett is addressing it with e-powertrain, fuel cell compressor, and e-cooling products. Management expects turbo revenue in 2035 to exceed 2025 levels as hybrid/PHEV adoption extends turbocharger relevance [1]. AI Opportunity (0/1): AI is used internally for simulation, product development (50+ proprietary tools), and supply chain optimization via PTC and o9 Solutions partnerships, but does not generate customer-facing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Garrett Motion Q2 2026 Earnings — Net Sales $976M (+7% YoY), Record Adjusted EBIT $152M (15.6% Margin), Raised FY2026 Guidance to $3.8B Revenue/$580M EBIT/$430M FCF, $115.25M Buyback Completed — Yahoo Finance, Seeking Alpha, TradingView, July 2026</w:t>
      </w:r>
    </w:p>
    <w:p>
      <w:pPr>
        <w:spacing w:before="20" w:after="20"/>
        <w:ind w:left="170"/>
      </w:pPr>
      <w:r>
        <w:rPr>
          <w:rFonts w:ascii="Calibri" w:hAnsi="Calibri"/>
          <w:b/>
          <w:color w:val="4A6B25"/>
          <w:sz w:val="15"/>
        </w:rPr>
        <w:t xml:space="preserve">2. </w:t>
      </w:r>
      <w:r>
        <w:rPr>
          <w:rFonts w:ascii="Calibri" w:hAnsi="Calibri"/>
          <w:b w:val="0"/>
          <w:color w:val="3A4A28"/>
          <w:sz w:val="17"/>
        </w:rPr>
        <w:t>Garrett Motion Innovation and Leadership — CEO Olivier Rabiller, 1,400+ Patents, E-Powertrain/E-Cooling Pipeline, PTC AI Partnership, 50%+ R&amp;D to Zero-Emission, Weichai Platform Launch — garrettmotion.com, Intellectia.ai, LinkedIn, 2025-2026</w:t>
      </w:r>
    </w:p>
    <w:p>
      <w:pPr>
        <w:spacing w:before="20" w:after="20"/>
        <w:ind w:left="170"/>
      </w:pPr>
      <w:r>
        <w:rPr>
          <w:rFonts w:ascii="Calibri" w:hAnsi="Calibri"/>
          <w:b/>
          <w:color w:val="4A6B25"/>
          <w:sz w:val="15"/>
        </w:rPr>
        <w:t xml:space="preserve">3. </w:t>
      </w:r>
      <w:r>
        <w:rPr>
          <w:rFonts w:ascii="Calibri" w:hAnsi="Calibri"/>
          <w:b w:val="0"/>
          <w:color w:val="3A4A28"/>
          <w:sz w:val="17"/>
        </w:rPr>
        <w:t>Garrett Motion ESG and Sustainability — No Specific Controversies Identified, ISO 45001/50001/14001 Certified, Inspire Score 46 (ALIGNED) — garrettmotion.com,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