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HAFN</w:t>
      </w:r>
      <w:r>
        <w:rPr>
          <w:rFonts w:ascii="Calibri" w:hAnsi="Calibri"/>
          <w:b/>
          <w:color w:val="1A2010"/>
          <w:sz w:val="40"/>
        </w:rPr>
        <w:t xml:space="preserve">  Hafnia Limited</w:t>
      </w:r>
    </w:p>
    <w:p>
      <w:pPr>
        <w:spacing w:after="120"/>
      </w:pPr>
      <w:r>
        <w:rPr>
          <w:rFonts w:ascii="Calibri" w:hAnsi="Calibri"/>
          <w:b/>
          <w:color w:val="6E8450"/>
          <w:sz w:val="18"/>
        </w:rPr>
        <w:t>GROWTH SLEEVE · 2026-09-17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Marine Shipping · NYSE · Singapore</w:t>
      </w:r>
    </w:p>
    <w:p>
      <w:pPr>
        <w:spacing w:after="80"/>
      </w:pPr>
      <w:r>
        <w:rPr>
          <w:rFonts w:ascii="Calibri" w:hAnsi="Calibri"/>
          <w:b w:val="0"/>
          <w:color w:val="3A4A28"/>
          <w:sz w:val="20"/>
        </w:rPr>
        <w:t>Hafnia Limited is one of the world's largest product tanker owner-operators, transporting refined petroleum products, chemicals and other liquid cargoes globally, and has repositioned itself from a traditional ship owner into a broader 'maritime platform' emphasizing fleet renewal, digitalization and decarbonization.</w:t>
      </w:r>
    </w:p>
    <w:p>
      <w:r>
        <w:rPr>
          <w:rFonts w:ascii="Calibri" w:hAnsi="Calibri"/>
          <w:b/>
          <w:color w:val="6E8450"/>
          <w:sz w:val="18"/>
        </w:rPr>
        <w:t>https://hafnia.com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Hafnia ordered eight fuel-efficient MR newbuild tankers from Hyundai Heavy Industries to secure early-delivery slots and strengthen earnings quality through fleet renewal, and CEO Mikael Skov has publicly discussed the growing role of AI in shipping operations and fleet optimization[2]. The company describes its 2025-2026 evolution as a shift from 'ship owner' to 'maritime platform' with digital innovation and cross-functional collaboration, though shipping remains a capital-intensive, largely commoditized transport business with limited proprietary technology moat[2].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Hafnia has taken a publicly constructive stance on keeping 'dark fleet' shadow vessels out of the mainstream petroleum market and maintains published Sanctions Compliance and Environmental Management System policies, a differentiated position in a sector where sanctions-evasion is a systemic risk[3]. However, the company's own Hafnia Nile vessel was involved in a collision with a shadow-fleet tanker (Ceres I) while carrying 300,000 barrels of naphtha, underscoring the operational and reputational risk exposure inherent to trading in regions where dark fleet activity is prevalent[3].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Hafnia is riding a strong product tanker rate cycle: Q2 2026 TCE earnings of $372.9M at an average $44,093/day drove H1 2026 net profit of $457.5M (versus $138.5M in H1 2025), with ROE of 26.6%, profit margin of 24.7%, and a conservative 33.4% debt-to-equity ratio[1]. Forward P/E of 13.3x remains reasonable given current earnings power, though investors should recognize these mechanically strong metrics reflect a cyclical high in tanker rates (80% of Q3 2026 days covered at $30,716/day, below the Q2 average) rather than a permanently elevated earnings base[1].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Hafnia is investing capex in fuel-efficient newbuilds and a planned CEO succession (founder Mikael Skov moving to the board, EVP Søren Steenberg Jensen stepping up) during a cyclical earnings peak rather than maximizing near-term shareholder returns alone, alongside a constructive public stance against shadow-fleet activity — signs of longer-horizon thinking tempered by the fundamentally cyclical, commodity nature of the tanker business[1][2][3].</w:t>
      </w:r>
    </w:p>
    <w:p>
      <w:pPr>
        <w:spacing w:before="200" w:after="40"/>
      </w:pPr>
      <w:r>
        <w:rPr>
          <w:rFonts w:ascii="Calibri" w:hAnsi="Calibri"/>
          <w:b/>
          <w:color w:val="1A2010"/>
          <w:sz w:val="22"/>
        </w:rPr>
        <w:t>Just Cause</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Hafnia has publicly positioned itself as an advocate for keeping dark/shadow fleet vessels out of the mainstream petroleum trade and publishes sanctions-compliance policies, articulating a market-integrity purpose beyond pure freight economics[3].</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Management describes 2025 as a year that 'tested and ultimately reinforced' governance and cross-functional collaboration following the NYSE listing, with an orderly, board-approved CEO succession rather than an abrupt change[2].</w:t>
      </w:r>
    </w:p>
    <w:p>
      <w:pPr>
        <w:spacing w:before="200" w:after="40"/>
      </w:pPr>
      <w:r>
        <w:rPr>
          <w:rFonts w:ascii="Calibri" w:hAnsi="Calibri"/>
          <w:b/>
          <w:color w:val="1A2010"/>
          <w:sz w:val="22"/>
        </w:rPr>
        <w:t>Worthy Rivals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Competes against Scorpio Tankers, Ardmore Shipping, Torm and other scaled product tanker owners in a mature, rational competitive set that disciplines fleet supply growth industry-wide.</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The stated shift from 'ship owner' to 'maritime platform,' combined with committing to fuel-efficient newbuild tonnage ahead of tightening decarbonization regulation, shows willingness to invest counter-cyclically for a structurally different future business model[2].</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Founder-CEO Mikael Skov is transitioning to the board in favor of an internal successor at a moment of peak earnings strength, a deliberate succession-planning move rather than a forced change, while continuing capex commitments (eight newbuilds) instead of pure capital return[2].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Hafnia is one of the world's largest product tanker operators and is currently benefiting from an exceptionally strong rate environment — H1 2026 net profit of $457.5M (versus $138.5M in H1 2025) on TCE earnings of $655.4M at an average $36,887/day — while maintaining a conservative 33.4% debt-to-equity ratio and investing in fuel-efficient newbuild tonnage for the next cycle[1][2]. Forward guidance shows 80% of Q3 2026 days already covered at $30,716/day, indicating near-term earnings visibility even as rates normalize from Q2 2026 peaks.</w:t>
      </w:r>
    </w:p>
    <w:p>
      <w:pPr>
        <w:spacing w:after="120"/>
      </w:pPr>
      <w:r>
        <w:rPr>
          <w:rFonts w:ascii="Calibri" w:hAnsi="Calibri"/>
          <w:b w:val="0"/>
          <w:color w:val="3A4A28"/>
          <w:sz w:val="20"/>
        </w:rPr>
        <w:t>The company also stands out for taking a constructive, compliance-forward public stance on shadow-fleet activity even though its own Hafnia Nile vessel was involved in a collision with a sanctioned dark-fleet tanker, illustrating both the operational risk and the reputational stakes of operating in this trade[3]. This is a HOLD: infrastructure metrics are mechanically excellent at the current point in the tanker cycle, but investors should size positions with the understanding that product tanker earnings are inherently cyclical and today's 7.5x trailing P/E partly reflects the market pricing in mean reversion.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tight product tanker supply/demand balance sustaining elevated TCE rates into Q3/Q4 2026[1]</w:t>
      </w:r>
    </w:p>
    <w:p>
      <w:pPr>
        <w:spacing w:before="40" w:after="40"/>
        <w:ind w:left="283"/>
      </w:pPr>
      <w:r>
        <w:rPr>
          <w:rFonts w:ascii="Calibri" w:hAnsi="Calibri"/>
          <w:b/>
          <w:color w:val="4A6B25"/>
          <w:sz w:val="20"/>
        </w:rPr>
        <w:t xml:space="preserve">2. </w:t>
      </w:r>
      <w:r>
        <w:rPr>
          <w:rFonts w:ascii="Calibri" w:hAnsi="Calibri"/>
          <w:b w:val="0"/>
          <w:color w:val="3A4A28"/>
          <w:sz w:val="20"/>
        </w:rPr>
        <w:t>Fuel-efficient newbuild deliveries (eight MR vessels from HHI) improving fleet earnings quality and decarbonization compliance[2]</w:t>
      </w:r>
    </w:p>
    <w:p>
      <w:pPr>
        <w:spacing w:before="40" w:after="40"/>
        <w:ind w:left="283"/>
      </w:pPr>
      <w:r>
        <w:rPr>
          <w:rFonts w:ascii="Calibri" w:hAnsi="Calibri"/>
          <w:b/>
          <w:color w:val="4A6B25"/>
          <w:sz w:val="20"/>
        </w:rPr>
        <w:t xml:space="preserve">3. </w:t>
      </w:r>
      <w:r>
        <w:rPr>
          <w:rFonts w:ascii="Calibri" w:hAnsi="Calibri"/>
          <w:b w:val="0"/>
          <w:color w:val="3A4A28"/>
          <w:sz w:val="20"/>
        </w:rPr>
        <w:t>Smooth CEO succession from founder Mikael Skov to EVP Søren Steenberg Jensen maintaining strategic continuity[2]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Cyclical tanker rate normalization — Q3 2026 contracted rate ($30,716/day) already below Q2 2026 average ($44,093/day)[1]</w:t>
      </w:r>
    </w:p>
    <w:p>
      <w:pPr>
        <w:spacing w:before="40" w:after="40"/>
        <w:ind w:left="283"/>
      </w:pPr>
      <w:r>
        <w:rPr>
          <w:rFonts w:ascii="Calibri" w:hAnsi="Calibri"/>
          <w:b/>
          <w:color w:val="4A6B25"/>
          <w:sz w:val="20"/>
        </w:rPr>
        <w:t xml:space="preserve">2. </w:t>
      </w:r>
      <w:r>
        <w:rPr>
          <w:rFonts w:ascii="Calibri" w:hAnsi="Calibri"/>
          <w:b w:val="0"/>
          <w:color w:val="3A4A28"/>
          <w:sz w:val="20"/>
        </w:rPr>
        <w:t>Operational/reputational exposure from trading in regions with active shadow-fleet and sanctions-evasion activity, as evidenced by the Hafnia Nile collision[3]</w:t>
      </w:r>
    </w:p>
    <w:p>
      <w:pPr>
        <w:spacing w:before="40" w:after="40"/>
        <w:ind w:left="283"/>
      </w:pPr>
      <w:r>
        <w:rPr>
          <w:rFonts w:ascii="Calibri" w:hAnsi="Calibri"/>
          <w:b/>
          <w:color w:val="4A6B25"/>
          <w:sz w:val="20"/>
        </w:rPr>
        <w:t xml:space="preserve">3. </w:t>
      </w:r>
      <w:r>
        <w:rPr>
          <w:rFonts w:ascii="Calibri" w:hAnsi="Calibri"/>
          <w:b w:val="0"/>
          <w:color w:val="3A4A28"/>
          <w:sz w:val="20"/>
        </w:rPr>
        <w:t>Newbuild capex commitments create earnings sensitivity if rates fall further before delivery</w:t>
      </w:r>
    </w:p>
    <w:p>
      <w:pPr>
        <w:spacing w:before="40" w:after="40"/>
        <w:ind w:left="283"/>
      </w:pPr>
      <w:r>
        <w:rPr>
          <w:rFonts w:ascii="Calibri" w:hAnsi="Calibri"/>
          <w:b/>
          <w:color w:val="4A6B25"/>
          <w:sz w:val="20"/>
        </w:rPr>
        <w:t xml:space="preserve">4. </w:t>
      </w:r>
      <w:r>
        <w:rPr>
          <w:rFonts w:ascii="Calibri" w:hAnsi="Calibri"/>
          <w:b w:val="0"/>
          <w:color w:val="3A4A28"/>
          <w:sz w:val="20"/>
        </w:rPr>
        <w:t>Geopolitical disruption (sanctions regimes, regional conflicts) affecting trade routes and voyage economics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Physical tanker transport of refined products is not directly disruptable by AI, and Hafnia is positioning AI as an operational enabler for fleet optimization, route planning and its broader 'digital maritime platform' ambitions, a topic CEO Mikael Skov addressed directly at Marine Money's CEO panel on shipping technology[2]. The business model's exposure to AI is asymmetric upside (efficiency gains) with negligible downside disruption risk to the core cargo-transport function.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Hafnia Limited Q1 and Q2 2026 earnings reports and call transcripts (Investing.com, Businesswire, Nasdaq, hafnia.com), 2026</w:t>
      </w:r>
    </w:p>
    <w:p>
      <w:pPr>
        <w:spacing w:before="20" w:after="20"/>
        <w:ind w:left="170"/>
      </w:pPr>
      <w:r>
        <w:rPr>
          <w:rFonts w:ascii="Calibri" w:hAnsi="Calibri"/>
          <w:b/>
          <w:color w:val="4A6B25"/>
          <w:sz w:val="15"/>
        </w:rPr>
        <w:t xml:space="preserve">2. </w:t>
      </w:r>
      <w:r>
        <w:rPr>
          <w:rFonts w:ascii="Calibri" w:hAnsi="Calibri"/>
          <w:b w:val="0"/>
          <w:color w:val="3A4A28"/>
          <w:sz w:val="17"/>
        </w:rPr>
        <w:t>Reflecting on 2025 and Looking to 2026: An Interview with Hafnia's Executive Management Team, hafnia.com; CEO succession coverage via Panabee, 2026</w:t>
      </w:r>
    </w:p>
    <w:p>
      <w:pPr>
        <w:spacing w:before="20" w:after="20"/>
        <w:ind w:left="170"/>
      </w:pPr>
      <w:r>
        <w:rPr>
          <w:rFonts w:ascii="Calibri" w:hAnsi="Calibri"/>
          <w:b/>
          <w:color w:val="4A6B25"/>
          <w:sz w:val="15"/>
        </w:rPr>
        <w:t xml:space="preserve">3. </w:t>
      </w:r>
      <w:r>
        <w:rPr>
          <w:rFonts w:ascii="Calibri" w:hAnsi="Calibri"/>
          <w:b w:val="0"/>
          <w:color w:val="3A4A28"/>
          <w:sz w:val="17"/>
        </w:rPr>
        <w:t>Hafnia ESG policies (hafnia.com/esg); Riviera Maritime and Dialogue Earth shadow fleet / Hafnia Nile collision coverage, 2025-2026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