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HASI</w:t>
      </w:r>
      <w:r>
        <w:rPr>
          <w:rFonts w:ascii="Calibri" w:hAnsi="Calibri"/>
          <w:b/>
          <w:color w:val="1A2010"/>
          <w:sz w:val="40"/>
        </w:rPr>
        <w:t xml:space="preserve">  HA Sustainable Infrastructure Capital, Inc.</w:t>
      </w:r>
    </w:p>
    <w:p>
      <w:pPr>
        <w:spacing w:after="120"/>
      </w:pPr>
      <w:r>
        <w:rPr>
          <w:rFonts w:ascii="Calibri" w:hAnsi="Calibri"/>
          <w:b/>
          <w:color w:val="6E8450"/>
          <w:sz w:val="18"/>
        </w:rPr>
        <w:t>DIVIDEND SLEEVE · 2026-09-30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HA Sustainable Infrastructure Capital (formerly Hannon Armstrong) is the first U.S. public company solely dedicated to investments in climate solutions, managing over $16.4B in assets across energy efficiency, renewable energy, and sustainable infrastructure markets. Founded in 1981, the company invests in behind-the-meter distributed energy, grid-connected renewables (solar, solar-plus-storage, wind), and fuels/transport/nature projects including renewable natural gas and ecological restoration. The company operates as a specialty REIT and changed its name from Hannon Armstrong in June 2024. CEO Jeffrey Lipson leads since March 2023, with founder Jeff Eckel serving as Executive Chair.</w:t>
      </w:r>
    </w:p>
    <w:p>
      <w:r>
        <w:rPr>
          <w:rFonts w:ascii="Calibri" w:hAnsi="Calibri"/>
          <w:b/>
          <w:color w:val="6E8450"/>
          <w:sz w:val="18"/>
        </w:rPr>
        <w:t>170 Employees · https://www.hasi.com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HASI has evolved from a niche energy efficiency lender to a broader climate solutions investment platform managing $16.4B in assets across renewables, RNG, transportation, and ecological restoration — a meaningful expansion of scope reflected in the June 2024 name change from Hannon Armstrong to HA Sustainable Infrastructure Capital [1]. However, the core business model (financing clean energy projects) has remained fundamentally the same. AI Deployment (0/2): No evidence of AI products shipping to customers or specific AI-driven operational efficiencies. The company's investment analysis and portfolio management remain traditional [2]. Market Share (1/2): HASI occupies a unique niche as the first and only U.S. public company solely dedicated to climate-positive investments, earning CDP 'A' score and ACORE Renewable Energy Leadership Award [2]. However, it competes with much larger infrastructure funds and banks in the broader renewable energy financing market. Product Pipeline (0/2): No next-generation products with specific timelines — the 'pipeline' consists of investment deals, which is normal course of business for a financial company [1]. R&amp;D Intensity (0/1): As a financial services company, HASI has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HASI's core purpose — making climate-positive investments with superior risk-adjusted returns — is specific, thoughtful, and genuinely differentiating, having been the company's guiding principle since its 1981 founding, long before ESG became a market trend [2]. The mission directly connects financial returns to environmental impact, and the CDP 'A' score, EPA ENERGY STAR Sustained Excellence Award, and Climate Group Climate Leadership Award validate that the purpose shapes real strategic decisions [2]. Community Impact (1/2): Every dollar HASI deploys inherently serves environmental benefit through clean energy project financing. The company has received ACORE leadership recognition and Bloomberg Gender Equality Index inclusion [2]. However, no specific community program dollar amounts or distinctive charitable initiatives were identified. Employee Retention (0/2): With 170 employees, no meaningful retention or tenure data is publicly available. Insider Buying (0/2): No evidence of meaningful net insider buying by executives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HASI's primary strengths are its attractive forward valuation (Forward P/E 10.68x, well below the 20x target) and high GAAP profit margin (67.65%), reflecting the capital-light financial services model [1][3]. Revenue growth YoY is extremely volatile due to GAAP accounting for fair value changes and gain recognition, but the underlying business grew managed assets 13% YoY to $16.4B [1]. The primary drags are high leverage (D/E 222.66% reflecting REIT capital structure with $5.9B debt) and very low trailing GAAP ROE (3.37%), which is depressed by non-cash fair value adjustments in the trailing period — forward EPS of $3.33 implies significantly higher forward ROE [3]. The GAAP payout ratio of 260% ($1.70 dividend on $0.65 trailing EPS) exceeds the 100% floor but is typical for REITs where GAAP earnings understate distributable cash flow. Consecutive years paid of approximately 13 (since 2013 IPO) and 5yr dividend growth CAGR of approximately 4% provide partial dividend metrics support [1]. Muddy Waters' 2022 short report alleged inflated GAAP earnings through non-cash income recognition, which remains a risk factor for financial metric reliability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HASI demonstrates genuine long-term orientation through its 45-year commitment to climate-positive investing, predating the ESG movement by decades. The company has shown courage by maintaining its clean energy focus through political headwinds and surviving the Muddy Waters short attack in 2022. However, the Just Cause remains partially validated rather than transformative, and the company has not demonstrated the kind of dramatic strategic flexibility or competitive self-awareness that defines Sinek's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HASI's purpose — climate-positive investing with superior risk-adjusted returns — is genuine, distinctive, and has been consistently pursued since the company's 1981 founding, 45 years before the current ESG wave [2]. The purpose shaped the decision to become the first public company solely dedicated to climate investments, and the CDP 'A' score validates execution. However, the cause has not been tested through a truly existential crisis that would prove the cause IS the competitive advantage — the Muddy Waters attack tested financial resilience but not purpose resilience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HASI has maintained organizational stability through multiple leadership transitions — founder Jeff Eckel moved to Executive Chair in 2023 with Jeffrey Lipson becoming CEO, a deliberate and orderly succession [2]. The 170-person organization has remained stable without major cultural disruptions. Former EXIM Chairman Kimberly Reed and CEO Lipson were recently appointed to the board, suggesting governance continuity [2]. No evidence of exceptional trust practices or employee empowerment data.</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HASI framing competitors as worthy rivals or referencing learning from peers. The company's communications focus on its unique positioning as the 'first and only' public climate-positive investment company rather than engaging with how competitors' strengths could improve its own approach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HASI has incrementally evolved its investment scope from energy efficiency financing to a broader climate solutions platform encompassing grid-connected renewables, behind-the-meter projects, RNG, transportation fleet enhancements, and ecological restoration [1]. The name change from Hannon Armstrong to HA Sustainable Infrastructure Capital reflects this strategic broadening. However, the core business model (financing clean infrastructure) has not fundamentally changed — this is incremental evolution,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HASI has demonstrated courage by maintaining its exclusively climate-focused investment strategy through political headwinds against ESG investing and clean energy subsidies, including navigating the 2022 Muddy Waters short attack that challenged the company's accounting practices and temporarily depressed the stock [3]. The company did not abandon its mission or diversify into non-climate investments despite pressure. However, no evidence of dramatic long-term bets that sacrificed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HASI offers a compelling combination of climate-positive mission and attractive valuation — at 10.68x forward earnings with a 4.78% dividend yield, the stock is priced below its historical average despite accelerating fundamentals [1][3]. Q1 2026 delivered adjusted earnings up 31% YoY to $102M with managed assets growing 13% to $16.4B and portfolio yield of 9.2%. The company projects 8-10% annual adjusted EPS CAGR through 2026, and AI-driven data center growth is creating secular tailwinds for renewable energy demand. The Inspire Impact Score of 74 (ALIGNED) with 16 positive attributions across environmental and governance categories makes HASI one of the strongest faith-aligned holdings in the universe.</w:t>
      </w:r>
    </w:p>
    <w:p>
      <w:pPr>
        <w:spacing w:after="120"/>
      </w:pPr>
      <w:r>
        <w:rPr>
          <w:rFonts w:ascii="Calibri" w:hAnsi="Calibri"/>
          <w:b w:val="0"/>
          <w:color w:val="3A4A28"/>
          <w:sz w:val="20"/>
        </w:rPr>
        <w:t>The bear case centers on financial complexity, leverage risk, and political uncertainty. HASI's 222.66% D/E ratio reflects REIT-typical leverage but creates significant interest rate sensitivity — rising rates compress both the value of existing fixed-rate assets and the spread on new investments [3]. The 2022 Muddy Waters short report alleged that HASI inflates GAAP earnings through non-cash income recognition from renewable energy tax credits, manipulated discount rates on residual assets, and PIK interest from stressed borrowers — while the company survived the attack, these accounting concerns have not been fully resolved [3]. Trailing GAAP ROE of only 3.37% and a 260% GAAP payout ratio suggest the dividend may be less covered than headline metrics imply. Political risk remains elevated as anti-ESG sentiment and potential subsidy rollbacks (IRA clean energy tax credits) could reduce demand for HASI's financing products. The trailing P/E of 54.71x vs forward P/E of 10.68x highlights the extreme gap between GAAP and adjusted earnings that makes valuation assessment difficult.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buildout creating secular demand growth for renewable energy — hyperscaler clean energy procurement is accelerating, directly increasing HASI's addressable investment pipeline for grid-connected solar, wind, and storage projects [1]</w:t>
      </w:r>
    </w:p>
    <w:p>
      <w:pPr>
        <w:spacing w:before="40" w:after="40"/>
        <w:ind w:left="283"/>
      </w:pPr>
      <w:r>
        <w:rPr>
          <w:rFonts w:ascii="Calibri" w:hAnsi="Calibri"/>
          <w:b/>
          <w:color w:val="4A6B25"/>
          <w:sz w:val="20"/>
        </w:rPr>
        <w:t xml:space="preserve">2. </w:t>
      </w:r>
      <w:r>
        <w:rPr>
          <w:rFonts w:ascii="Calibri" w:hAnsi="Calibri"/>
          <w:b w:val="0"/>
          <w:color w:val="3A4A28"/>
          <w:sz w:val="20"/>
        </w:rPr>
        <w:t>Management guidance of 8-10% annual adjusted EPS CAGR through 2026 baseline, with Q1 2026 results (31% adjusted earnings growth) tracking well above the midpoint, supported by $16.4B managed assets growing 13% YoY [1]</w:t>
      </w:r>
    </w:p>
    <w:p>
      <w:pPr>
        <w:spacing w:before="40" w:after="40"/>
        <w:ind w:left="283"/>
      </w:pPr>
      <w:r>
        <w:rPr>
          <w:rFonts w:ascii="Calibri" w:hAnsi="Calibri"/>
          <w:b/>
          <w:color w:val="4A6B25"/>
          <w:sz w:val="20"/>
        </w:rPr>
        <w:t xml:space="preserve">3. </w:t>
      </w:r>
      <w:r>
        <w:rPr>
          <w:rFonts w:ascii="Calibri" w:hAnsi="Calibri"/>
          <w:b w:val="0"/>
          <w:color w:val="3A4A28"/>
          <w:sz w:val="20"/>
        </w:rPr>
        <w:t>4.78% dividend yield at 10.68x forward P/E represents attractive income-plus-growth opportunity if adjusted earnings trajectory holds, with potential for multiple expansion as interest rates normalize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Accounting complexity and Muddy Waters allegations — GAAP earnings include non-cash income from tax credit accounting, fair value gains, and PIK interest that may not represent sustainable economic earnings, creating risk that distributable cash flow is lower than reported [3]</w:t>
      </w:r>
    </w:p>
    <w:p>
      <w:pPr>
        <w:spacing w:before="40" w:after="40"/>
        <w:ind w:left="283"/>
      </w:pPr>
      <w:r>
        <w:rPr>
          <w:rFonts w:ascii="Calibri" w:hAnsi="Calibri"/>
          <w:b/>
          <w:color w:val="4A6B25"/>
          <w:sz w:val="20"/>
        </w:rPr>
        <w:t xml:space="preserve">2. </w:t>
      </w:r>
      <w:r>
        <w:rPr>
          <w:rFonts w:ascii="Calibri" w:hAnsi="Calibri"/>
          <w:b w:val="0"/>
          <w:color w:val="3A4A28"/>
          <w:sz w:val="20"/>
        </w:rPr>
        <w:t>High leverage (222.66% D/E, $5.9B total debt) creates significant interest rate and refinancing risk — each 100bp rate increase compresses portfolio spreads and reduces the net present value of existing fixed-rate receivables [3]</w:t>
      </w:r>
    </w:p>
    <w:p>
      <w:pPr>
        <w:spacing w:before="40" w:after="40"/>
        <w:ind w:left="283"/>
      </w:pPr>
      <w:r>
        <w:rPr>
          <w:rFonts w:ascii="Calibri" w:hAnsi="Calibri"/>
          <w:b/>
          <w:color w:val="4A6B25"/>
          <w:sz w:val="20"/>
        </w:rPr>
        <w:t xml:space="preserve">3. </w:t>
      </w:r>
      <w:r>
        <w:rPr>
          <w:rFonts w:ascii="Calibri" w:hAnsi="Calibri"/>
          <w:b w:val="0"/>
          <w:color w:val="3A4A28"/>
          <w:sz w:val="20"/>
        </w:rPr>
        <w:t>Political and regulatory risk from potential rollback of IRA clean energy tax credits and anti-ESG legislative pressure could reduce demand for HASI's financing products and compress investment yields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HASI's core business is financing physical infrastructure — solar panels, wind turbines, energy efficiency retrofits, RNG plants, and ecological restoration projects [1]. AI cannot replace these physical assets or the regulatory frameworks governing renewable energy development. The clean energy infrastructure market is actually expanding due to AI: hyperscale data centers require enormous amounts of clean electricity, directly increasing demand for the renewable energy projects HASI finances [1]. The financial intermediation role carries modest AI efficiency risk (automated underwriting, portfolio analytics), but the physical asset base and regulatory moats (tax credits, PPA structures, utility interconnection) create structural protection. AI Opportunity (0/1): HASI generates no revenue from AI products or services. The company has not disclosed AI-driven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HASI Q1 2026 Earnings — Adjusted earnings $102M (+31% YoY), revenue $124.2M (beat), managed assets $16.4B (+13%), portfolio yield 9.2%, EPS guidance 8-10% CAGR, May 2026</w:t>
      </w:r>
    </w:p>
    <w:p>
      <w:pPr>
        <w:spacing w:before="20" w:after="20"/>
        <w:ind w:left="170"/>
      </w:pPr>
      <w:r>
        <w:rPr>
          <w:rFonts w:ascii="Calibri" w:hAnsi="Calibri"/>
          <w:b/>
          <w:color w:val="4A6B25"/>
          <w:sz w:val="15"/>
        </w:rPr>
        <w:t xml:space="preserve">2. </w:t>
      </w:r>
      <w:r>
        <w:rPr>
          <w:rFonts w:ascii="Calibri" w:hAnsi="Calibri"/>
          <w:b w:val="0"/>
          <w:color w:val="3A4A28"/>
          <w:sz w:val="17"/>
        </w:rPr>
        <w:t>HASI Corporate — CDP 'A' Score, ACORE Leadership Award, Bloomberg Gender Equality Index, leadership transition (Eckel to Lipson March 2023), founded 1981, climate-positive mission, 2019-2026</w:t>
      </w:r>
    </w:p>
    <w:p>
      <w:pPr>
        <w:spacing w:before="20" w:after="20"/>
        <w:ind w:left="170"/>
      </w:pPr>
      <w:r>
        <w:rPr>
          <w:rFonts w:ascii="Calibri" w:hAnsi="Calibri"/>
          <w:b/>
          <w:color w:val="4A6B25"/>
          <w:sz w:val="15"/>
        </w:rPr>
        <w:t xml:space="preserve">3. </w:t>
      </w:r>
      <w:r>
        <w:rPr>
          <w:rFonts w:ascii="Calibri" w:hAnsi="Calibri"/>
          <w:b w:val="0"/>
          <w:color w:val="3A4A28"/>
          <w:sz w:val="17"/>
        </w:rPr>
        <w:t>HASI ESG &amp; Risk — Muddy Waters short report July 2022 ('ESG is for Exaggerating, Scamming, and Grifting'), accounting allegations, Yahoo Finance key statistics (D/E 222.66%, ROE 3.37%, Forward P/E 10.68x),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