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HBAN</w:t>
      </w:r>
      <w:r>
        <w:rPr>
          <w:rFonts w:ascii="Calibri" w:hAnsi="Calibri"/>
          <w:b/>
          <w:color w:val="1A2010"/>
          <w:sz w:val="40"/>
        </w:rPr>
        <w:t xml:space="preserve">  Huntington Bancshares Incorporated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DIVIDEND SLEEVE · 2026-10-03 · Inspire: -49 · MIXED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E3F2FD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2563EB"/>
                <w:sz w:val="20"/>
              </w:rPr>
              <w:t>WATCH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58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Financial Services · Banks - Regional · NMS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Huntington Bancshares is a Columbus, Ohio-based regional bank holding company offering consumer, small business, commercial, wealth and payments services across the Midwest and expanding Southeast and Texas footprints through acquisitions. Q2 2026 net income was $727M ($0.33 per share, +36% YoY) on revenue of $4.17B (+38% YoY), with TTM revenue of $14.4B [1]. CEO Stephen Steinour has led since 2009.</w:t>
      </w:r>
    </w:p>
    <w:p>
      <w:r>
        <w:rPr>
          <w:rFonts w:ascii="Calibri" w:hAnsi="Calibri"/>
          <w:b/>
          <w:color w:val="6E8450"/>
          <w:sz w:val="18"/>
        </w:rPr>
        <w:t>20,000 Employees · https://www.huntington.com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5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756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756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(1/3): Huntington's recent major moves are acquisitions and footprint expansion rather than product pivots, with organic fee income up 30% YoY in Q2 2026 a sign of capability building [1]. AI Deployment (2/2): the CFO doubles as AI strategist and the bank went from 2 AI agents in Q4 2022 to 50 in production and 60+ in development, adding about 15 per month [2]. Market Share (1/2): meaningful regional player, but no specific share-gain data surfaced. Pipeline (1/2): a 2027 ROTCE target of 18-19% and AI pipeline are stated without product-level dates [1]. R&amp;D (0/1): banks do not report R&amp;D intensity.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5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756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756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(3/4): Huntington's 'look out for people' and Welcome-branded purpose is distinctive among regional banks and is backed by an Outstanding Community Reinvestment Act rating [3]. Community Impact (1/2): the CRA rating and renewable and emissions goals (50% renewable electricity by 2035, 41% GHG reduction by 2037) are documented, but dollar-denominated programs were not captured in research [3]. Employee Retention (1/2): CEO tenure since 2009 and long-tenured leadership imply stability, though no turnover data was found [2]. Insider Buying (0/2): no net insider buying evidence found.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STRONG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8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409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102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Mechanically scored as a Dividend stock; D/E unavailable and excluded. ROE of 9.0% scores 0.60, while revenue growth of 47.6% YoY, estimated 5yr CAGR above 10%, forward P/E of 8.6 and 26.1% margin all score 1.0 [1]. Dividend metrics use estimates: yield of about 4.0%, payout near 47% (0.88), about 16 consecutive years paid since the post-2009 restart (1.0, 2x), about 3 years of growth (0.30) and 5yr dividend CAGR of about 2% (0.33, 2x). Weighted 8.45/11 gives 8. Dollar volume of about $400M clears the liquidity floor.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B8860B"/>
          <w:sz w:val="22"/>
        </w:rPr>
        <w:t>MIXED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B8860B"/>
          <w:sz w:val="28"/>
        </w:rPr>
        <w:t>5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Huntington is a stable, long-tenured, purpose-branded regional bank that has executed ambitious acquisitions. Its strategy still reads as a growth-and-ROTCE-target story, and no pivot has tested its cause against short-term earnings.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858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654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(2/3): 'Look out for people' and a Welcome-style service culture is genuine and distinctive for the sector, but it is not yet validated as a competitive advantage across crises [2][3].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(1/2): CEO continuity since 2009 and stable leadership suggest adequate trust, with no data showing exceptional empowerment or turnover 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(0/1): No evidence of learning-from-rivals framing; competitive language centers on 2027 ROTCE targets [1].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(1/2): Evolved through merger-driven expansion and digital and AI adoption, incremental rather than a core-business reinvention [1].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(1/2): Management embarked on large footprint-expanding acquisitions and heavy AI investment that depress near-term efficiency, but evidence of costly principled stands is limited [1][2].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Huntington at $15.33 trades at 8.6x forward earnings while Q2 2026 net income rose 36% YoY to $727M, net interest income climbed 8.5% sequentially, fee income grew 30% organically, and management reiterated an 18-19% ROTCE target for 2027 [1]. A roughly 4% yield, 26% margin and an AI program with 50 agents in production support further efficiency gains [2].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bear case is that ROE is only 9.0%, well below the sector's best, and much of the reported 38% revenue growth reflects acquisition effects that will not repeat. Dividend growth has been slow (about 2% 5-year CAGR), the stock sits below its 50-day average of $16.62, and credit and deposit-cost pressure could challenge guidance [1]. Reliance on a 17-year CEO concentrates institutional knowledge and creates succession risk [2].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Integration of recent acquisitions delivering cost synergies and sequential NII growth (+8.5% in Q2 2026)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Reaching the 2027 ROTCE target of 18-19% would close the profitability gap to top regional peers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Scaling AI agents (50 in production, 60+ in development) to lower the efficiency ratio [2]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ROE of 9.0% and acquisition-inflated growth (revenue +47.6%) may not persist once integration benefits plateau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Credit-quality and deposit-cost pressure in a regional-bank cycle could compress the PPNR gains reported in Q2 2026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Long-tenured CEO since 2009 raises succession and key-person risk [2]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MODERATE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(6/9): A regulated, deposit-funded commercial bank has structural moats of charter, FDIC insurance and relationship lending, and Huntington frames AI as a catalyst for efficiency and customer experience rather than a threat [2]. Exposure exists in back-office and branch labor and in AI agents that could commoditize basic customer interaction, which is why the score stops short of immune. AI Opportunity (0/1): 50 agents in production deliver efficiency, but no AI revenue figure is disclosed.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DC2626"/>
          <w:sz w:val="28"/>
        </w:rPr>
        <w:t>-49</w:t>
      </w:r>
      <w:r>
        <w:rPr>
          <w:rFonts w:ascii="Calibri" w:hAnsi="Calibri"/>
          <w:b/>
          <w:color w:val="B8860B"/>
          <w:sz w:val="20"/>
        </w:rPr>
        <w:t xml:space="preserve">    MISALIGNED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Negative: </w:t>
      </w:r>
      <w:r>
        <w:rPr>
          <w:rFonts w:ascii="Calibri" w:hAnsi="Calibri"/>
          <w:b/>
          <w:color w:val="DC2626"/>
          <w:sz w:val="17"/>
        </w:rPr>
        <w:t xml:space="preserve"> LGBT Activism 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Positive: </w:t>
      </w:r>
      <w:r>
        <w:rPr>
          <w:rFonts w:ascii="Calibri" w:hAnsi="Calibri"/>
          <w:b/>
          <w:color w:val="16A34A"/>
          <w:sz w:val="17"/>
        </w:rPr>
        <w:t xml:space="preserve"> Business Resilience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Customer Welfare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Data Security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Employee Wellbeing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Energy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Supply Chain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Hiring Ethics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Materials Efficiency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Access and Affordability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Sustainability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Regulatory Adherence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Huntington Bancshares Q2 2026 Earnings Release, Form 8-K, July 23, 2026; Q1 2026 earnings highlights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Fortune, 'At Huntington Bancshares, the CFO is also the AI strategist', April 24, 2026; Simply Wall St management analysis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Huntington 2023 ESG Report and Yahoo Finance Sustainalytics ESG risk rating (score 16), accessed October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