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HBM</w:t>
      </w:r>
      <w:r>
        <w:rPr>
          <w:rFonts w:ascii="Calibri" w:hAnsi="Calibri"/>
          <w:b/>
          <w:color w:val="1A2010"/>
          <w:sz w:val="40"/>
        </w:rPr>
        <w:t xml:space="preserve">  Hudbay Minerals Inc.</w:t>
      </w:r>
    </w:p>
    <w:p>
      <w:pPr>
        <w:spacing w:after="120"/>
      </w:pPr>
      <w:r>
        <w:rPr>
          <w:rFonts w:ascii="Calibri" w:hAnsi="Calibri"/>
          <w:b/>
          <w:color w:val="6E8450"/>
          <w:sz w:val="18"/>
        </w:rPr>
        <w:t>GROWTH SLEEVE · 2026-10-16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Copper &amp; Base Metals Mining · NYSE · Canada</w:t>
      </w:r>
    </w:p>
    <w:p>
      <w:pPr>
        <w:spacing w:after="80"/>
      </w:pPr>
      <w:r>
        <w:rPr>
          <w:rFonts w:ascii="Calibri" w:hAnsi="Calibri"/>
          <w:b w:val="0"/>
          <w:color w:val="3A4A28"/>
          <w:sz w:val="20"/>
        </w:rPr>
        <w:t>Hudbay Minerals is a Toronto-headquartered, copper-focused integrated mining company with three long-life operating mines — Constancia (Peru), Snow Lake (Manitoba), and Copper Mountain (British Columbia) — plus a growth pipeline anchored by the fully permitted Copper World project in Arizona, the Mason project in Nevada, and the Llaguen project in Peru. Q2 2026 revenue was $631.3M with net earnings of $137.4M and adjusted EBITDA of $321.2M, following record Q1 2026 revenue of $757.3M and record trailing-twelve-month adjusted EBITDA of $1.3B. Peter Kukielski succeeded Alan Hair as CEO in 2026. The company guides 2026 copper production of 110,000-138,000 tonnes and gold production of 217,000-272,000 ounces, with consolidated cash costs improved to $(0.45) to $(0.25) per pound of copper.</w:t>
      </w:r>
    </w:p>
    <w:p>
      <w:r>
        <w:rPr>
          <w:rFonts w:ascii="Calibri" w:hAnsi="Calibri"/>
          <w:b/>
          <w:color w:val="6E8450"/>
          <w:sz w:val="18"/>
        </w:rPr>
        <w:t>3,072 Employees · https://hudbayminerals.com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Hudbay delivered record Q1 2026 revenue ($757.3M) and record adjusted EBITDA ($421.9M), fully permitted the previously contentious Copper World project in Arizona, and secured a $600M capital validation from Mitsubishi Corporation for a 30% stake in that project — a combination of operational execution and strategic capital-raising that materially de-risked the company's growth pipeline [1][2]. Q2 2026 maintained strong execution with $631.3M revenue and improved full-year cash cost guidance [1]. AI Deployment (0/2): No evidence of internal AI-powered products or quantified AI-driven efficiency gains was found; this is a traditional physical mining operator. Market Share (1/2): Hudbay is a meaningful mid-tier copper producer with three long-life mines across three countries, but no evidence of category-leading or dominant share was found relative to major diversified miners. Product Pipeline (2/2): Management guided specific, dated production growth — copper output up 24% next year and 70% by decade-end — anchored by the fully permitted Copper World project plus the Mason (Nevada) and Llaguen (Peru) projects [1][3]. R&amp;D Intensity (0/1): No R&amp;D-as-percent-of-revenue data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Hudbay's stated purpose centers on generating long-term value through high-quality, long-life mines — standard mining-sector language that is materially undercut by active lawsuits in Canadian courts alleging serious human rights violations, including violence, by security personnel at a former Hudbay subsidiary's operations in Guatemala, which is directly in tension with a genuine service-oriented purpose [4]. Community Impact (2/2): Hudbay signed new sustainable development agreements with six communities near its Constancia mine in 2023, logged approximately 7,700 interactions with more than 3,000 local stakeholders that year, targets 50% GHG emissions reduction by 2030, and earned recognition from Peru's National Society of Mining for its social investment model [4]. Employee Retention (0/2): No turnover or tenure data was found; the CEO transition from Alan Hair to Peter Kukielski in 2026 and the earlier Waterton proxy fight alleging a 'culture of entrenchment' provide mixed signals [5]. Insider Buying (0/2): No net insider buying/selling data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(PEG unavailable and excluded). Every scored metric clears its target: D/E of ~14% is well inside the 70% target (score 1.0, 1x weight), with ~$539M debt against ~$1.0B cash [6]. ROE of 20.7% exceeds the 15% target (score 1.0, 2x weight). Revenue growth of ~17.7% YoY in Q2 2026 clears the 10% target (score 1.0, 1x weight) [1]. 5-year revenue CAGR of ~10% meets the target (score 1.0, 2x weight). Forward P/E of ~14.4 is inside the 20 target (score 1.0, 1x weight). Profit margin of 27.8% clears the 20% target (score 1.0, 1x weight) [6]. Weighted sum 8.0 / max 8.0 = 10. Liquidity: ~4.5M shares/day at $24.22 = $109M daily dollar volume, far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Hudbay shows genuine courage and long-term capital discipline — permitting the contentious Copper World project through to completion and securing a $600M Mitsubishi investment while continuing organic production growth. Community engagement near Constancia is concrete and well-documented. But an active Canadian lawsuit alleging serious human rights violations by security personnel at a former Guatemalan subsidiary is a significant, unresolved tension with any claim to a genuine Just Cause, and the recent CEO transition and earlier Waterton proxy fight raise governance questions — placing the company in mixed, not infinite, territory.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Hudbay's framing around responsibly supplying copper for global electrification touches a resilient, service-oriented theme, but the active Guatemala human rights litigation against a former subsidiary directly contradicts the 'benefits others, not just the company' test Sinek applies, preventing this from scoring above a shallow cause [4].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company launched a 'ONETeam' leadership training program in 2023, and no specific turnover or internal-culture red flags were found beyond the 2020 Waterton proxy fight which alleged a 'culture of entrenchment' and resulted in board-level changes [5]. The CEO transition from Alan Hair to Peter Kukielski in 2026 adds organizational flux. Absent concrete retention or empowerment data, this scores as adequate.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Hudbay publicly framing competitors among major copper producers as worthy rivals or citing competitive dynamics as a driver of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Hudbay expanded beyond its historical Manitoba/Peru base into a new US jurisdiction (Arizona's Copper World, Nevada's Mason project) and brought in a major strategic partner (Mitsubishi), a real geographic and capital-structure evolution, but this is organic growth within the same core copper-mining business rather than a full model reinvention [1][3].</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Management persisted through the historically difficult, multi-year Copper World permitting process in Arizona to full permit approval, and secured a $600M capital commitment from Mitsubishi for a minority stake — evidence of sustained, costly, long-horizon investment in future production capacity (guided at +24% next year, +70% by decade-end) rather than short-term financial engineering [1][2][3].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Hudbay Minerals at $24.22 with a $10.8B market cap is a copper-focused miner executing near-peak financial performance — Q1 2026 delivered record revenue ($757.3M) and record TTM adjusted EBITDA ($1.3B), Q2 2026 maintained momentum with $631.3M revenue (+17.7% YoY) and $137.4M net earnings, and management improved 2026 cash cost guidance to $(0.45) to $(0.25) per pound of copper [1]. ROE of 20.7%, profit margin of 27.8%, D/E of ~14%, and a Forward P/E of ~14.4 combine growth, profitability, and balance-sheet strength rare among mid-tier miners. The fully permitted Copper World project in Arizona, validated by Mitsubishi's $600M investment for a 30% stake, underpins management's guidance for copper production to grow 24% next year and 70% by decade-end — positioning Hudbay directly in the path of the AI/data-center-driven copper supply deficit projected to widen sharply from 2027 [2][7].</w:t>
      </w:r>
    </w:p>
    <w:p>
      <w:pPr>
        <w:spacing w:after="120"/>
      </w:pPr>
      <w:r>
        <w:rPr>
          <w:rFonts w:ascii="Calibri" w:hAnsi="Calibri"/>
          <w:b w:val="0"/>
          <w:color w:val="3A4A28"/>
          <w:sz w:val="20"/>
        </w:rPr>
        <w:t>The bear case centers on cyclicality, governance, and jurisdictional risk. The stock declined ~20% from its 52-week highs ($30+ to $24.22), and Q2 2026 revenue of $631.3M missed the $684.1M consensus estimate with EPS of $0.28 versus $0.34 expected, suggesting the peak-earnings narrative may be fading [1]. An active Canadian lawsuit alleges serious human rights violations at a former Hudbay subsidiary's Guatemala operations, creating ongoing reputational and legal overhang [4]. The CEO transition from Alan Hair to interim CEO Peter Kukielski introduces leadership uncertainty during a critical growth-execution phase, and the company's earlier Waterton proxy fight raised governance concerns that may resurface [5]. Hudbay's growth increasingly depends on successful execution of Copper World in Arizona, and any commodity price reversal from elevated copper prices would flow directly through to margins that are partly cyclical.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Copper World ramp-up in Arizona following full permitting and the $600M Mitsubishi capital injection for a 30% stake, supporting management's guidance for copper production to grow 24% next year and 70% by decade-end [1][2][3]</w:t>
      </w:r>
    </w:p>
    <w:p>
      <w:pPr>
        <w:spacing w:before="40" w:after="40"/>
        <w:ind w:left="283"/>
      </w:pPr>
      <w:r>
        <w:rPr>
          <w:rFonts w:ascii="Calibri" w:hAnsi="Calibri"/>
          <w:b/>
          <w:color w:val="4A6B25"/>
          <w:sz w:val="20"/>
        </w:rPr>
        <w:t xml:space="preserve">2. </w:t>
      </w:r>
      <w:r>
        <w:rPr>
          <w:rFonts w:ascii="Calibri" w:hAnsi="Calibri"/>
          <w:b w:val="0"/>
          <w:color w:val="3A4A28"/>
          <w:sz w:val="20"/>
        </w:rPr>
        <w:t>Structural AI/data-center-driven copper demand, with S&amp;P Global-cited supply deficits projected to widen from 19,000 tonnes in 2027 to 766,000 tonnes by 2030, supporting sustained higher copper prices [7]</w:t>
      </w:r>
    </w:p>
    <w:p>
      <w:pPr>
        <w:spacing w:before="40" w:after="40"/>
        <w:ind w:left="283"/>
      </w:pPr>
      <w:r>
        <w:rPr>
          <w:rFonts w:ascii="Calibri" w:hAnsi="Calibri"/>
          <w:b/>
          <w:color w:val="4A6B25"/>
          <w:sz w:val="20"/>
        </w:rPr>
        <w:t xml:space="preserve">3. </w:t>
      </w:r>
      <w:r>
        <w:rPr>
          <w:rFonts w:ascii="Calibri" w:hAnsi="Calibri"/>
          <w:b w:val="0"/>
          <w:color w:val="3A4A28"/>
          <w:sz w:val="20"/>
        </w:rPr>
        <w:t>Improved 2026 cash cost guidance to $(0.45) to $(0.25) per pound of copper reflecting operational efficiency gains and favorable by-product credits across three operating mines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Active Canadian litigation alleging serious human rights violations by security personnel at a former Hudbay subsidiary's Guatemala operations — an unresolved legal and reputational risk with uncertain financial exposure [4]</w:t>
      </w:r>
    </w:p>
    <w:p>
      <w:pPr>
        <w:spacing w:before="40" w:after="40"/>
        <w:ind w:left="283"/>
      </w:pPr>
      <w:r>
        <w:rPr>
          <w:rFonts w:ascii="Calibri" w:hAnsi="Calibri"/>
          <w:b/>
          <w:color w:val="4A6B25"/>
          <w:sz w:val="20"/>
        </w:rPr>
        <w:t xml:space="preserve">2. </w:t>
      </w:r>
      <w:r>
        <w:rPr>
          <w:rFonts w:ascii="Calibri" w:hAnsi="Calibri"/>
          <w:b w:val="0"/>
          <w:color w:val="3A4A28"/>
          <w:sz w:val="20"/>
        </w:rPr>
        <w:t>CEO transition from Alan Hair to interim CEO Peter Kukielski during a critical growth-execution phase, following the earlier Waterton proxy fight that alleged a 'culture of entrenchment' and resulted in board changes [5]</w:t>
      </w:r>
    </w:p>
    <w:p>
      <w:pPr>
        <w:spacing w:before="40" w:after="40"/>
        <w:ind w:left="283"/>
      </w:pPr>
      <w:r>
        <w:rPr>
          <w:rFonts w:ascii="Calibri" w:hAnsi="Calibri"/>
          <w:b/>
          <w:color w:val="4A6B25"/>
          <w:sz w:val="20"/>
        </w:rPr>
        <w:t xml:space="preserve">3. </w:t>
      </w:r>
      <w:r>
        <w:rPr>
          <w:rFonts w:ascii="Calibri" w:hAnsi="Calibri"/>
          <w:b w:val="0"/>
          <w:color w:val="3A4A28"/>
          <w:sz w:val="20"/>
        </w:rPr>
        <w:t>Cyclical commodity price exposure — Q2 2026 already missed consensus ($631M vs $684M expected), and the current strong margins (27.8%) are partly a function of elevated copper, gold, and zinc prices that may not sustain [1][6]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Copper mining is a physical-world extraction business that AI cannot substitute or disrupt, and copper is increasingly cited by S&amp;P Global and industry analysts as one of the most strategic metals of the AI era — data center buildout, grid expansion, and electrification are projected to push copper supply deficits from 19,000 tonnes in 2027 to 766,000 tonnes by 2030, meaning rising AI investment directly increases demand for Hudbay's core product rather than threatening it [7]. Hudbay's operations — underground and open-pit mining, flotation processing, smelting — are irreplaceable physical activities. AI Opportunity (0/1): While Hudbay's copper is a critical AI-infrastructure input, the company does not itself generate AI-related product or service revenue, so no tiebreaker point is awarded under the strict definition.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Hudbay Q1 and Q2 2026 Results — Record Q1 Revenue $757.3M, Q2 Revenue $631.3M (+17.7% YoY), TTM EBITDA $1.3B, 2026 Guidance Reaffirmed — Hudbay Press Releases, Quartr, SEC 6-K Filings, 2026</w:t>
      </w:r>
    </w:p>
    <w:p>
      <w:pPr>
        <w:spacing w:before="20" w:after="20"/>
        <w:ind w:left="170"/>
      </w:pPr>
      <w:r>
        <w:rPr>
          <w:rFonts w:ascii="Calibri" w:hAnsi="Calibri"/>
          <w:b/>
          <w:color w:val="4A6B25"/>
          <w:sz w:val="15"/>
        </w:rPr>
        <w:t xml:space="preserve">2. </w:t>
      </w:r>
      <w:r>
        <w:rPr>
          <w:rFonts w:ascii="Calibri" w:hAnsi="Calibri"/>
          <w:b w:val="0"/>
          <w:color w:val="3A4A28"/>
          <w:sz w:val="17"/>
        </w:rPr>
        <w:t>Mitsubishi Corporation to Acquire 30% Interest in Copper World for $600M — Mitsubishi Corporation News Release, August 2025</w:t>
      </w:r>
    </w:p>
    <w:p>
      <w:pPr>
        <w:spacing w:before="20" w:after="20"/>
        <w:ind w:left="170"/>
      </w:pPr>
      <w:r>
        <w:rPr>
          <w:rFonts w:ascii="Calibri" w:hAnsi="Calibri"/>
          <w:b/>
          <w:color w:val="4A6B25"/>
          <w:sz w:val="15"/>
        </w:rPr>
        <w:t xml:space="preserve">3. </w:t>
      </w:r>
      <w:r>
        <w:rPr>
          <w:rFonts w:ascii="Calibri" w:hAnsi="Calibri"/>
          <w:b w:val="0"/>
          <w:color w:val="3A4A28"/>
          <w:sz w:val="17"/>
        </w:rPr>
        <w:t>Hudbay Growth Pipeline: Copper World (Arizona), Mason (Nevada), Llaguen (Peru) — Copper Production +24% Next Year, +70% by Decade-End — Hudbay Investor Materials, 2026</w:t>
      </w:r>
    </w:p>
    <w:p>
      <w:pPr>
        <w:spacing w:before="20" w:after="20"/>
        <w:ind w:left="170"/>
      </w:pPr>
      <w:r>
        <w:rPr>
          <w:rFonts w:ascii="Calibri" w:hAnsi="Calibri"/>
          <w:b/>
          <w:color w:val="4A6B25"/>
          <w:sz w:val="15"/>
        </w:rPr>
        <w:t xml:space="preserve">4. </w:t>
      </w:r>
      <w:r>
        <w:rPr>
          <w:rFonts w:ascii="Calibri" w:hAnsi="Calibri"/>
          <w:b w:val="0"/>
          <w:color w:val="3A4A28"/>
          <w:sz w:val="17"/>
        </w:rPr>
        <w:t>Hudbay Guatemala Human Rights Litigation, Constancia Community Agreements, and ESG Controversies — MiningWatch Canada, Hudbay Sustainability Report, SEC Filings, 2019-2026</w:t>
      </w:r>
    </w:p>
    <w:p>
      <w:pPr>
        <w:spacing w:before="20" w:after="20"/>
        <w:ind w:left="170"/>
      </w:pPr>
      <w:r>
        <w:rPr>
          <w:rFonts w:ascii="Calibri" w:hAnsi="Calibri"/>
          <w:b/>
          <w:color w:val="4A6B25"/>
          <w:sz w:val="15"/>
        </w:rPr>
        <w:t xml:space="preserve">5. </w:t>
      </w:r>
      <w:r>
        <w:rPr>
          <w:rFonts w:ascii="Calibri" w:hAnsi="Calibri"/>
          <w:b w:val="0"/>
          <w:color w:val="3A4A28"/>
          <w:sz w:val="17"/>
        </w:rPr>
        <w:t>Hudbay CEO Transition (Alan Hair to Peter Kukielski) and Waterton Proxy Fight — ProActivo, Mining-Journal, StockTitan, 2020-2026</w:t>
      </w:r>
    </w:p>
    <w:p>
      <w:pPr>
        <w:spacing w:before="20" w:after="20"/>
        <w:ind w:left="170"/>
      </w:pPr>
      <w:r>
        <w:rPr>
          <w:rFonts w:ascii="Calibri" w:hAnsi="Calibri"/>
          <w:b/>
          <w:color w:val="4A6B25"/>
          <w:sz w:val="15"/>
        </w:rPr>
        <w:t xml:space="preserve">6. </w:t>
      </w:r>
      <w:r>
        <w:rPr>
          <w:rFonts w:ascii="Calibri" w:hAnsi="Calibri"/>
          <w:b w:val="0"/>
          <w:color w:val="3A4A28"/>
          <w:sz w:val="17"/>
        </w:rPr>
        <w:t>HBM Financial Data — P/E 13.3, Forward P/E ~14.4, ROE 20.7%, Profit Margin 27.8%, D/E ~14%, TTM Revenue ~$2.47B — StockAnalysis, Motley Fool, Yahoo Finance, accessed October 2026</w:t>
      </w:r>
    </w:p>
    <w:p>
      <w:pPr>
        <w:spacing w:before="20" w:after="20"/>
        <w:ind w:left="170"/>
      </w:pPr>
      <w:r>
        <w:rPr>
          <w:rFonts w:ascii="Calibri" w:hAnsi="Calibri"/>
          <w:b/>
          <w:color w:val="4A6B25"/>
          <w:sz w:val="15"/>
        </w:rPr>
        <w:t xml:space="preserve">7. </w:t>
      </w:r>
      <w:r>
        <w:rPr>
          <w:rFonts w:ascii="Calibri" w:hAnsi="Calibri"/>
          <w:b w:val="0"/>
          <w:color w:val="3A4A28"/>
          <w:sz w:val="17"/>
        </w:rPr>
        <w:t>Copper in the Age of AI: Supply Deficits 19,000t (2027) to 766,000t (2030) — S&amp;P Global, Fastmarkets, MINING.com,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