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HCA</w:t>
      </w:r>
      <w:r>
        <w:rPr>
          <w:rFonts w:ascii="Calibri" w:hAnsi="Calibri"/>
          <w:b/>
          <w:color w:val="1A2010"/>
          <w:sz w:val="40"/>
        </w:rPr>
        <w:t xml:space="preserve">  HCA Healthcare, Inc.</w:t>
      </w:r>
    </w:p>
    <w:p>
      <w:pPr>
        <w:spacing w:after="120"/>
      </w:pPr>
      <w:r>
        <w:rPr>
          <w:rFonts w:ascii="Calibri" w:hAnsi="Calibri"/>
          <w:b/>
          <w:color w:val="6E8450"/>
          <w:sz w:val="18"/>
        </w:rPr>
        <w:t>GROWTH SLEEVE · 2026-09-28 · Inspire: -62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Care Facilities · NYSE · United States</w:t>
      </w:r>
    </w:p>
    <w:p>
      <w:pPr>
        <w:spacing w:after="80"/>
      </w:pPr>
      <w:r>
        <w:rPr>
          <w:rFonts w:ascii="Calibri" w:hAnsi="Calibri"/>
          <w:b w:val="0"/>
          <w:color w:val="3A4A28"/>
          <w:sz w:val="20"/>
        </w:rPr>
        <w:t>HCA Healthcare is the largest for-profit hospital operator in the United States, operating 187 hospitals and approximately 2,400 ambulatory sites of care including freestanding emergency rooms, urgent care centers, and outpatient surgery centers. Founded in 1968 in Nashville, Tennessee, the company provides a full spectrum of acute care services including inpatient care, intensive care, cardiac care, oncology, and emergency services. Q2 2026 revenue reached $20.23B (+8.7% YoY) and FY2025 revenue totaled $75.6B with net income of $6.784B ($28.33/share) [1]. The company has negative stockholders' equity (-$6.0B) resulting from aggressive share repurchases totaling over $50B since its 2011 re-IPO.</w:t>
      </w:r>
    </w:p>
    <w:p>
      <w:r>
        <w:rPr>
          <w:rFonts w:ascii="Calibri" w:hAnsi="Calibri"/>
          <w:b/>
          <w:color w:val="6E8450"/>
          <w:sz w:val="18"/>
        </w:rPr>
        <w:t>230,000 Employees · https://www.hcahealthcare.com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HCA expanded its care delivery footprint from ~170 to 187 hospitals while building a network of ~2,400 ambulatory sites, representing a strategic shift toward outpatient care delivery models [1]. Revenue grew from $51.5B in 2020 to $75.6B in 2025, a 47% increase driven by organic growth and facility expansion — successful execution of a multi-year ambulatory strategy rather than a transformative business model reinvention. AI Deployment (2/2): HCA appointed Yauheni Solad as System VP of Clinical AI in June 2025, deployed Timpani, an AI-driven nurse staffing and scheduling platform now scaling across dozens of hospitals, implemented Commure/Augmedix ambient AI clinical documentation tools automating ER notes and nurse handoff reports, and partnered with Google Cloud on generative AI initiatives [2]. Market Share (2/2): HCA is the undisputed leader in US for-profit hospital operations with 187 hospitals and ~2,400 ambulatory sites across 20 states and the United Kingdom — the largest system of its kind [1]. Pipeline (1/2): AI scaling strategy and continued ambulatory expansion underway, but these are service delivery rollouts rather than discrete product launches with specific dates and revenue visibility. R&amp;D Intensity (0/1): Hospital systems do not report traditional R&amp;D; HCA invests through innovation hubs embedding clinicians with data scientists, but this does not register as top-quartile R&amp;D intensity relative to sector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HCA's mission — 'Above all else, we are committed to the care and improvement of human life' — is specific, purpose-driven, and consistently maintained since the company's 1968 founding [2]. It connects healthcare delivery to a larger purpose beyond profit and has survived through a leveraged buyout (2006), re-IPO (2011), and multiple leadership transitions. Community Impact (1/2): HCA provides significant uncompensated care across its hospital network, and the Board has formalized ESG oversight with a Sustainability Committee and integrated ESG objectives into executive compensation [3]. However, no specific philanthropic dollar amounts or distinctive community development programs were identified. Employee Retention (1/2): CEO Sam Hazen has led HCA since 2019, providing leadership continuity. Innovation hubs pair clinicians with data scientists, and Timpani AI staffing was developed specifically to improve nurse experience and reduce burnout [2]. No specific retention rates or tenure data were identified. Insider Buying (0/2): No evidence of meaningful net insider buying by CEO or executives in the last 12 months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excluding D/E and ROE which are undefined due to HCA's negative stockholders' equity (-$6.0B from cumulative share buybacks exceeding $50B since 2011) [4]. Forward P/E of 13.6 is well below the 20 target, scoring perfectly. Forward PEG of 1.33 is favorable against the 1.0 target. Revenue growth YoY of 8.7% approaches the 10% target, and 5-year revenue CAGR of approximately 8.0% is similarly strong [1]. Profit margin of 8.77% is well below the 20% target but characteristic of hospital operations with high labor and facility costs [4]. The company carries $48.7B in total debt against $1.1B cash — while the leverage ratio is extreme by traditional metrics, HCA generates $6.8B in annual net income and $3.7B in free cash flow, comfortably servicing its debt. Liquidity floor easily cleared at ~$658M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HCA demonstrates meaningful infinite game characteristics rooted in a genuine healthcare mission maintained since 1968. The company's commitment to expanding care access through 187 hospitals and 2,400 ambulatory sites reflects long-term thinking. However, the leveraged buyout in 2006 and aggressive financial engineering through $50B+ in share repurchases funded by debt signal a tension between purpose-driven healthcare delivery and short-term shareholder value optimization.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HCA's purpose of caring for and improving human life has been consistent since its 1968 founding and has survived through a leveraged buyout, re-IPO, and multiple leadership transitions [1]. The company's continuous expansion of care access — from ~170 to 187 hospitals — demonstrates purpose-aligned strategic decisions. However, the 2006 LBO by KKR, Bain, and Merrill Lynch, which loaded the company with massive debt for financial returns, tested whether the mission truly drives decisions or whether HCA is ultimately a financial engineering vehicle that operates hospitals.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HCA's 230,000-employee organization maintains operational stability across 187 hospitals, with CEO Sam Hazen providing leadership continuity since 2019 [2]. Innovation hubs embedding clinicians with data scientists foster cross-functional collaboration and suggest a culture that values frontline input. Timpani AI staffing was developed to address nurse burnout, showing responsiveness to workforce needs [2]. However, healthcare has historically high turnover, and no specific retention or employee satisfaction metrics were identified.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HCA operates in a competitive healthcare landscape alongside major non-profit systems (Kaiser Permanente, Ascension, CommonSpirit Health) and other for-profit operators (Tenet, Universal Health Services) [1]. The company's competitive strategy focuses on operational excellence, technology innovation, and care quality improvement rather than competitor destruction. HCA's investment in AI and ambulatory care reflects a focus on improving its own capabilities.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HCA has evolved its care delivery model from a traditional hospital-centric approach to an integrated network of hospitals, ambulatory surgery centers, freestanding ERs, urgent care clinics, and digital health capabilities [1]. The company's investment in AI-driven operations and innovation hubs represents meaningful evolution. However, the core business — operating acute care hospitals — has remained fundamentally the same for decades, and the ambulatory expansion is incremental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HCA continued investing in facility expansion and technology innovation through the COVID pandemic when hospital operations faced unprecedented uncertainty [1]. The appointment of a System VP of Clinical AI and enterprise-wide AI integration demonstrates forward-thinking resource allocation [2]. However, capital allocation heavily favors share buybacks ($50B+ since 2011) over mission-aligned investments, suggesting leadership optimizes more for financial returns than courageous long-term capability building.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HCA Healthcare delivered Q2 2026 revenue of $20.23B (+8.7% YoY) and FY2025 revenue of $75.6B (+7.1%) with net income of $6.784B, demonstrating consistent top-line growth driven by same-facility volume increases and ambulatory expansion [1]. The stock trades at a compelling 13.6x forward earnings with a PEG ratio of 1.33, well below market averages for the quality of earnings. HCA's scale advantages as the largest US for-profit hospital operator create purchasing power, data network effects (AI trained on 35M+ annual patient encounters), and operational efficiency that smaller competitors cannot replicate [2]. The AI investments — Timpani nurse staffing, ambient documentation, Google Cloud GenAI — position HCA to extract operating leverage from technology while competitors lack the scale to justify similar investments. Free cash flow of $3.7B supports an ultra-conservative 10.1% payout ratio with 11 consecutive years of dividend growth at a 10.2% CAGR [4].</w:t>
      </w:r>
    </w:p>
    <w:p>
      <w:pPr>
        <w:spacing w:after="120"/>
      </w:pPr>
      <w:r>
        <w:rPr>
          <w:rFonts w:ascii="Calibri" w:hAnsi="Calibri"/>
          <w:b w:val="0"/>
          <w:color w:val="3A4A28"/>
          <w:sz w:val="20"/>
        </w:rPr>
        <w:t>The bear case centers on leverage, margin structure, and regulatory risk. HCA operates with negative stockholders' equity (-$6.0B) from cumulative share repurchases, carrying $48.7B in total debt — while serviceable at current interest rates, a sustained rate environment above 5% would meaningfully compress free cash flow [4]. Profit margins of 8.77% reflect the labor-intensive nature of hospital operations, and nurse wage inflation remains an ongoing pressure that AI staffing tools can only partially mitigate. Regulatory risk is elevated: potential changes to Medicare reimbursement rates, surprise billing legislation, and site-of-service payment parity reforms could compress the revenue premium HCA earns on outpatient services. The 0.72% dividend yield falls well below the 2% threshold for income-focused investors. The Inspire Impact score of -62 (MISALIGNED) due to Abortion Services may limit the investor base for values-aligned funds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operational leverage from Timpani nurse staffing, ambient clinical documentation, and Google Cloud GenAI partnership scaling across 187 hospitals — potential for significant annual efficiency gains as AI adoption reaches full deployment [2]</w:t>
      </w:r>
    </w:p>
    <w:p>
      <w:pPr>
        <w:spacing w:before="40" w:after="40"/>
        <w:ind w:left="283"/>
      </w:pPr>
      <w:r>
        <w:rPr>
          <w:rFonts w:ascii="Calibri" w:hAnsi="Calibri"/>
          <w:b/>
          <w:color w:val="4A6B25"/>
          <w:sz w:val="20"/>
        </w:rPr>
        <w:t xml:space="preserve">2. </w:t>
      </w:r>
      <w:r>
        <w:rPr>
          <w:rFonts w:ascii="Calibri" w:hAnsi="Calibri"/>
          <w:b w:val="0"/>
          <w:color w:val="3A4A28"/>
          <w:sz w:val="20"/>
        </w:rPr>
        <w:t>Ambulatory care expansion with ~2,400 sites creating higher-margin outpatient revenue mix shift, with ambulatory surgery centers and freestanding ERs typically generating higher margins than inpatient services [1]</w:t>
      </w:r>
    </w:p>
    <w:p>
      <w:pPr>
        <w:spacing w:before="40" w:after="40"/>
        <w:ind w:left="283"/>
      </w:pPr>
      <w:r>
        <w:rPr>
          <w:rFonts w:ascii="Calibri" w:hAnsi="Calibri"/>
          <w:b/>
          <w:color w:val="4A6B25"/>
          <w:sz w:val="20"/>
        </w:rPr>
        <w:t xml:space="preserve">3. </w:t>
      </w:r>
      <w:r>
        <w:rPr>
          <w:rFonts w:ascii="Calibri" w:hAnsi="Calibri"/>
          <w:b w:val="0"/>
          <w:color w:val="3A4A28"/>
          <w:sz w:val="20"/>
        </w:rPr>
        <w:t>Demographic tailwind from aging US population increasing healthcare demand, with HCA's geographic concentration in high-growth Sun Belt states (Texas, Florida, Tennessee) providing above-average volume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Leverage concentration with $48.7B total debt against negative equity — a sustained high-rate environment or unexpected revenue decline would stress debt servicing capacity and constrain capital allocation flexibility [4]</w:t>
      </w:r>
    </w:p>
    <w:p>
      <w:pPr>
        <w:spacing w:before="40" w:after="40"/>
        <w:ind w:left="283"/>
      </w:pPr>
      <w:r>
        <w:rPr>
          <w:rFonts w:ascii="Calibri" w:hAnsi="Calibri"/>
          <w:b/>
          <w:color w:val="4A6B25"/>
          <w:sz w:val="20"/>
        </w:rPr>
        <w:t xml:space="preserve">2. </w:t>
      </w:r>
      <w:r>
        <w:rPr>
          <w:rFonts w:ascii="Calibri" w:hAnsi="Calibri"/>
          <w:b w:val="0"/>
          <w:color w:val="3A4A28"/>
          <w:sz w:val="20"/>
        </w:rPr>
        <w:t>Medicare reimbursement rate reform or site-of-service payment parity legislation would compress the revenue premium HCA earns on ambulatory services relative to physician offices, directly threatening the outpatient growth strategy [1]</w:t>
      </w:r>
    </w:p>
    <w:p>
      <w:pPr>
        <w:spacing w:before="40" w:after="40"/>
        <w:ind w:left="283"/>
      </w:pPr>
      <w:r>
        <w:rPr>
          <w:rFonts w:ascii="Calibri" w:hAnsi="Calibri"/>
          <w:b/>
          <w:color w:val="4A6B25"/>
          <w:sz w:val="20"/>
        </w:rPr>
        <w:t xml:space="preserve">3. </w:t>
      </w:r>
      <w:r>
        <w:rPr>
          <w:rFonts w:ascii="Calibri" w:hAnsi="Calibri"/>
          <w:b w:val="0"/>
          <w:color w:val="3A4A28"/>
          <w:sz w:val="20"/>
        </w:rPr>
        <w:t>Nurse labor cost inflation and staffing shortages remain structural challenges — Timpani AI mitigates scheduling inefficiency but cannot solve the underlying supply shortage of qualified healthcare workers in a tight labor market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Hospital operations are fundamentally physical-world activities that AI structurally cannot displace — emergency care, surgeries, inpatient treatment, and diagnostic procedures require licensed clinicians, physical facilities, and hands-on patient interaction [2]. Healthcare is among the most heavily regulated industries in the United States, with credentialing, licensing, and compliance requirements creating insurmountable barriers to AI substitution. AI is a clear operational enabler for HCA: ambient documentation reduces physician administrative burden, AI staffing optimization improves nurse scheduling, and predictive analytics enhance patient outcomes — all of which increase HCA's efficiency rather than threatening its business [2]. The modest risk comes from AI-enabled telemedicine and remote monitoring potentially shifting some outpatient volume, but this represents incremental optimization, not existential disruption. AI Opportunity (0/1): HCA deploys AI extensively as an internal operational tool (Timpani, Commure/Augmedix, Google Cloud GenAI) but does not sell AI products or services to external customers and generates no identifiable AI revenue stream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Services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HCA Healthcare Q2 2026 Earnings Release — Revenue $20.23B (+8.7% YoY), Net Income $1.699B; Q1 2026 Revenue $19.109B (+4.3%); FY2025 Revenue $75.6B, Net Income $6.784B ($28.33/share); FY2026 Guidance $76.5-80.0B Revenue, July 2026</w:t>
      </w:r>
    </w:p>
    <w:p>
      <w:pPr>
        <w:spacing w:before="20" w:after="20"/>
        <w:ind w:left="170"/>
      </w:pPr>
      <w:r>
        <w:rPr>
          <w:rFonts w:ascii="Calibri" w:hAnsi="Calibri"/>
          <w:b/>
          <w:color w:val="4A6B25"/>
          <w:sz w:val="15"/>
        </w:rPr>
        <w:t xml:space="preserve">2. </w:t>
      </w:r>
      <w:r>
        <w:rPr>
          <w:rFonts w:ascii="Calibri" w:hAnsi="Calibri"/>
          <w:b w:val="0"/>
          <w:color w:val="3A4A28"/>
          <w:sz w:val="17"/>
        </w:rPr>
        <w:t>HCA Healthcare CEO Sam Hazen on AI, Digital Transformation, Leadership — Timpani AI Staffing, Commure/Augmedix Ambient Documentation, Google Cloud GenAI, VP of Clinical AI Yauheni Solad, Innovation Hubs; Modern Healthcare, Becker's Hospital Review, HCA Healthcare Today, 2025-2026</w:t>
      </w:r>
    </w:p>
    <w:p>
      <w:pPr>
        <w:spacing w:before="20" w:after="20"/>
        <w:ind w:left="170"/>
      </w:pPr>
      <w:r>
        <w:rPr>
          <w:rFonts w:ascii="Calibri" w:hAnsi="Calibri"/>
          <w:b/>
          <w:color w:val="4A6B25"/>
          <w:sz w:val="15"/>
        </w:rPr>
        <w:t xml:space="preserve">3. </w:t>
      </w:r>
      <w:r>
        <w:rPr>
          <w:rFonts w:ascii="Calibri" w:hAnsi="Calibri"/>
          <w:b w:val="0"/>
          <w:color w:val="3A4A28"/>
          <w:sz w:val="17"/>
        </w:rPr>
        <w:t>HCA Healthcare ESG Profile — Board ESG Oversight, Sustainability Committee, Community Impact, ESG Compensation Objectives; Yahoo Finance, SEC Filings,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HCA Healthcare Financial Statistics — Yahoo Finance, StockAnalysis: Stock Price $435.61, Forward P/E 13.6, Negative Equity (-$6.0B), Total Debt $48.7B, PEG 1.33, Payout Ratio 10.1%, Free Cash Flow $3.7B,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