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HCWB</w:t>
      </w:r>
      <w:r>
        <w:rPr>
          <w:rFonts w:ascii="Calibri" w:hAnsi="Calibri"/>
          <w:b/>
          <w:color w:val="1A2010"/>
          <w:sz w:val="40"/>
        </w:rPr>
        <w:t xml:space="preserve">  HCW Biologics Inc.</w:t>
      </w:r>
    </w:p>
    <w:p>
      <w:pPr>
        <w:spacing w:after="120"/>
      </w:pPr>
      <w:r>
        <w:rPr>
          <w:rFonts w:ascii="Calibri" w:hAnsi="Calibri"/>
          <w:b/>
          <w:color w:val="6E8450"/>
          <w:sz w:val="18"/>
        </w:rPr>
        <w:t>GROWTH SLEEVE · 2026-10-15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HCW Biologics is a clinical-stage biopharmaceutical company developing novel immunotherapies for chronic low-grade inflammation and age-related diseases using its proprietary TOBI (Tissue factor-Based multi-functional biologic immunotherapy) platform. The company generated $6.7M in H1 2026 revenue almost entirely from a single Trimmune licensing deal, compared to $11,615 in the prior-year period. Cash stood at just $741K at June 30, 2026, and the company has disclosed substantial doubt about its ability to continue as a going concern.</w:t>
      </w:r>
    </w:p>
    <w:p>
      <w:r>
        <w:rPr>
          <w:rFonts w:ascii="Calibri" w:hAnsi="Calibri"/>
          <w:b/>
          <w:color w:val="6E8450"/>
          <w:sz w:val="18"/>
        </w:rPr>
        <w:t>35 Employees · https://www.hcwbiologics.com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HCW Biologics has not launched any commercial products or executed meaningful market pivots in its history; the company remains pre-commercial with no FDA-approved therapies [1]. AI Deployment (0/2): No AI deployment or AI strategy evident in any public disclosures or filings. Market Share (0/2): The company has no market share in any therapeutic category — it is entirely pre-commercial with zero marketed products [2]. Product Pipeline (1/2): The TOBI platform has generated multiple candidates targeting inflammaging and oncology, and the Trimmune licensing deal for HCW9218 demonstrates external validation of the platform's scientific merit, but no specific Phase 3 timelines or launch dates have been disclosed [1][2]. R&amp;D Intensity (1/1): As a clinical-stage biotech, virtually all operational spending is directed toward R&amp;D, placing the company well above industry average as a percentage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HCW Biologics describes its purpose as developing novel immunotherapies to address chronic inflammation and age-related diseases — a clear but generic biotech mission interchangeable with dozens of peers [3]. Community Impact (0/2): No evidence of charitable programs, community investment, or corporate philanthropy found in any public materials or filings. Employee Retention (0/2): With only 35 employees and no publicly available retention data, Glassdoor reviews, or tenure information, this item cannot be scored [3]. Insider Buying (0/2): Founder-CEO Hing C. Wong owns approximately 26.5% of outstanding shares, but no evidence of net insider buying in the last 12 months was found — existing ownership reflects founding equity, not recent conviction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404,549 shares at $1.17 yields daily dollar volume of approximately $473K, well below the $1M minimum threshold required by IOWN [2]. Infrastructure score is automatically set to 0 regardless of other metrics. The underlying financials are severely distressed: the company reported a net loss of $13.4M in H1 2026, holds only $741K in cash with going concern doubt disclosed, profit margin is -83%, ROE is -151%, and D/E stands at 88% [1][2]. Revenue of $6.7M in H1 2026 came almost entirely from a single Trimmune licensing deal in Q1, with Q2 revenue of just $136K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HCW Biologics is a survival-mode micro-cap biotech with $741K in cash and going concern doubt — the company is playing to survive the next quarter, not to endure. While founder-CEO Wong's 26.5% ownership shows personal commitment, the company lacks the organizational depth, financial runway, or strategic track record to demonstrate infinite game thinking across any of Sinek's five dimensions.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stated purpose of developing immunotherapies for chronic inflammation and aging is a legitimate scientific mission, but it reads as standard biotech boilerplate rather than a distinctive Just Cause [3]. The inflammaging thesis is shared by numerous competitors, and there is no evidence that this purpose drives strategic decisions beyond basic drug development. The company has not demonstrated the resilience, inclusivity, or idealism that Sinek requires of a true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35 employees and no publicly available information on company culture, employee satisfaction, voluntary turnover, or organizational practices, this dimension cannot be scored [3][4]. The going concern doubt and cash crisis of $741K create inherent organizational instability that undermines any potential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limited public communications focus on its own pipeline rather than acknowledging or learning from competitors' strengths in the inflammaging or immunotherapy space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financially constrained to have faced or demonstrated existential flexibility. With $741K in cash and survival-level funding, strategic pivots are driven by necessity rather than vision [1][2]. The Trimmune licensing deal is a cash-raising measure, not a strategic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or principled decisions that sacrifice near-term results. The company's actions — reverse stock splits to maintain Nasdaq listing compliance, one-off licensing deals to fund operations — reflect survival tactics rather than strategic courage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HCW Biologics at $1.17 with a $2.6M market cap is a clinical-stage micro-cap biotech whose sole value proposition rests on the TOBI immunotherapy platform and a Phase 2b-ready pipeline targeting inflammaging and oncology. The Q1 2026 Trimmune licensing deal validated the platform with $3.5M in cash plus $3.5M in equity, and the company's lead candidates (HCW9218 for cancer/infections) address a growing scientific interest in chronic low-grade inflammation as a root cause of age-related diseases [1][2].</w:t>
      </w:r>
    </w:p>
    <w:p>
      <w:pPr>
        <w:spacing w:after="120"/>
      </w:pPr>
      <w:r>
        <w:rPr>
          <w:rFonts w:ascii="Calibri" w:hAnsi="Calibri"/>
          <w:b w:val="0"/>
          <w:color w:val="3A4A28"/>
          <w:sz w:val="20"/>
        </w:rPr>
        <w:t>The bear case is existential: the company held just $741K in cash at June 30, 2026, has disclosed going concern doubt, and generated only $136K in Q2 revenue after the one-time Trimmune deal boosted Q1 [1][2]. The daily dollar trading volume of ~$473K triggers the IOWN liquidity floor, making the stock untradeable for any portfolio of meaningful size. With 35 employees, no commercial products, negative ROE of -151%, and a history of reverse stock splits to maintain Nasdaq listing compliance, HCWB represents speculative exposure to a single platform bet with inadequate capital to reach value-creating milestones [2][4]. Dilutive financing or delisting remain the most probable near-term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Phase 3 initiation for an inflammaging or oncology candidate — any IND filing or FDA interaction could rerate the stock given the sub-$3M market cap, though funding for a Phase 3 trial is not currently available [1]</w:t>
      </w:r>
    </w:p>
    <w:p>
      <w:pPr>
        <w:spacing w:before="40" w:after="40"/>
        <w:ind w:left="283"/>
      </w:pPr>
      <w:r>
        <w:rPr>
          <w:rFonts w:ascii="Calibri" w:hAnsi="Calibri"/>
          <w:b/>
          <w:color w:val="4A6B25"/>
          <w:sz w:val="20"/>
        </w:rPr>
        <w:t xml:space="preserve">2. </w:t>
      </w:r>
      <w:r>
        <w:rPr>
          <w:rFonts w:ascii="Calibri" w:hAnsi="Calibri"/>
          <w:b w:val="0"/>
          <w:color w:val="3A4A28"/>
          <w:sz w:val="20"/>
        </w:rPr>
        <w:t>Additional licensing deals or partnerships for TOBI platform assets — the Trimmune deal demonstrated third-party interest, and further out-licensing could provide non-dilutive capital and pipeline validation [1][2]</w:t>
      </w:r>
    </w:p>
    <w:p>
      <w:pPr>
        <w:spacing w:before="40" w:after="40"/>
        <w:ind w:left="283"/>
      </w:pPr>
      <w:r>
        <w:rPr>
          <w:rFonts w:ascii="Calibri" w:hAnsi="Calibri"/>
          <w:b/>
          <w:color w:val="4A6B25"/>
          <w:sz w:val="20"/>
        </w:rPr>
        <w:t xml:space="preserve">3. </w:t>
      </w:r>
      <w:r>
        <w:rPr>
          <w:rFonts w:ascii="Calibri" w:hAnsi="Calibri"/>
          <w:b w:val="0"/>
          <w:color w:val="3A4A28"/>
          <w:sz w:val="20"/>
        </w:rPr>
        <w:t>Capital raise at terms that avoid excessive dilution — any strategic investment or partnership with milestone payments could extend the cash runway beyond the current going-concern timeline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with only $741K cash at June 30, 2026 — the company cannot fund operations through Q4 2026 without additional financing, and any capital raise at a $2.6M market cap will be massively dilutive to existing shareholders [1][2]</w:t>
      </w:r>
    </w:p>
    <w:p>
      <w:pPr>
        <w:spacing w:before="40" w:after="40"/>
        <w:ind w:left="283"/>
      </w:pPr>
      <w:r>
        <w:rPr>
          <w:rFonts w:ascii="Calibri" w:hAnsi="Calibri"/>
          <w:b/>
          <w:color w:val="4A6B25"/>
          <w:sz w:val="20"/>
        </w:rPr>
        <w:t xml:space="preserve">2. </w:t>
      </w:r>
      <w:r>
        <w:rPr>
          <w:rFonts w:ascii="Calibri" w:hAnsi="Calibri"/>
          <w:b w:val="0"/>
          <w:color w:val="3A4A28"/>
          <w:sz w:val="20"/>
        </w:rPr>
        <w:t>Complete dependence on a single licensing deal for 2026 revenue — Q2 revenue of $136K demonstrates the company has no recurring revenue engine, and future quarters depend entirely on new deals materializing [1][2]</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 the company recently regained compliance but remains vulnerable to minimum bid price or market cap listing requirements given the $1.17 share price and micro-cap status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is structurally protected from AI substitution by FDA regulatory requirements, physical clinical trial processes, and biologic manufacturing complexity that AI cannot replace [4]. HCW Biologics' TOBI immunotherapy platform involves novel protein engineering and in vivo biology that requires wet-lab validation impossible to simulate digitally. However, AI-driven drug discovery competitors (Recursion, Insilico Medicine) could accelerate rival programs in the inflammaging space, and the company's tiny size offers no competitive moat against better-funded AI-enabled biotechs. AI Opportunity (0/1): No AI-related revenue or AI-powered products. The company has not disclosed any AI integration in its drug discovery or development processes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HCW Biologics Q1 2026 Earnings Release (Form 8-K), SEC, February 2026</w:t>
      </w:r>
    </w:p>
    <w:p>
      <w:pPr>
        <w:spacing w:before="20" w:after="20"/>
        <w:ind w:left="170"/>
      </w:pPr>
      <w:r>
        <w:rPr>
          <w:rFonts w:ascii="Calibri" w:hAnsi="Calibri"/>
          <w:b/>
          <w:color w:val="4A6B25"/>
          <w:sz w:val="15"/>
        </w:rPr>
        <w:t xml:space="preserve">2. </w:t>
      </w:r>
      <w:r>
        <w:rPr>
          <w:rFonts w:ascii="Calibri" w:hAnsi="Calibri"/>
          <w:b w:val="0"/>
          <w:color w:val="3A4A28"/>
          <w:sz w:val="17"/>
        </w:rPr>
        <w:t>HCW Biologics Q2 2026 Financial Results Summary, Quartr, August 2026</w:t>
      </w:r>
    </w:p>
    <w:p>
      <w:pPr>
        <w:spacing w:before="20" w:after="20"/>
        <w:ind w:left="170"/>
      </w:pPr>
      <w:r>
        <w:rPr>
          <w:rFonts w:ascii="Calibri" w:hAnsi="Calibri"/>
          <w:b/>
          <w:color w:val="4A6B25"/>
          <w:sz w:val="15"/>
        </w:rPr>
        <w:t xml:space="preserve">3. </w:t>
      </w:r>
      <w:r>
        <w:rPr>
          <w:rFonts w:ascii="Calibri" w:hAnsi="Calibri"/>
          <w:b w:val="0"/>
          <w:color w:val="3A4A28"/>
          <w:sz w:val="17"/>
        </w:rPr>
        <w:t>HCW Biologics Leadership and Corporate Page, hcwbiologics.com,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HCW Biologics Nasdaq Compliance and Clinical Progress Analysis, Panabee/BioSpace, March-August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